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322 vom 22. April 2015</w:t>
      </w:r>
    </w:p>
    <w:p>
      <w:r>
        <w:t>VD Tribunal cantonal, 2015-04-22, FR</w:t>
      </w:r>
    </w:p>
    <w:p>
      <w:r>
        <w:rPr>
          <w:b/>
        </w:rPr>
        <w:t xml:space="preserve">Quelle: </w:t>
      </w:r>
      <w:r>
        <w:t>https://mcp.opencaselaw.ch/entscheid/vd_findinfo_Arr_t___2015___322</w:t>
      </w:r>
    </w:p>
    <w:p>
      <w:r>
        <w:t>FR: VD_FINDINFO Arrêt / 2015 / 322 du 22 avril 2015</w:t>
      </w:r>
    </w:p>
    <w:p>
      <w:r>
        <w:t>IT: VD_FINDINFO Arrêt / 2015 / 322 del 22 aprile 2015</w:t>
      </w:r>
    </w:p>
    <w:p>
      <w:pPr>
        <w:pStyle w:val="Heading2"/>
      </w:pPr>
      <w:r>
        <w:t>Regeste</w:t>
      </w:r>
    </w:p>
    <w:p>
      <w:r>
        <w:t>REJET DE LA DEMANDE, PROVISOIRE, RETRAIT DU DROIT DE GARDE, RELATIONS PERSONNELLES, CURATELLE DE REPRÉSENTATION | 306 al. 2 CC, 310 CC, 445 CC, 450 CC, 85 al. 1 LDIP</w:t>
      </w:r>
    </w:p>
    <w:p>
      <w:pPr>
        <w:pStyle w:val="Heading2"/>
      </w:pPr>
      <w:r>
        <w:t>Erwägungen</w:t>
      </w:r>
    </w:p>
    <w:p>
      <w:r>
        <w:rPr>
          <w:b/>
        </w:rPr>
        <w:t>E. 1</w:t>
      </w:r>
    </w:p>
    <w:p>
      <w:r>
        <w:t>Le recours est dirigé contre une ordonnance de mesures provision­nelles du juge de paix retirant provisoirement au père son droit de déterminer le lieu de rési­dence de ses deux enfants et désignant l’OCTP en qualité de détenteur provisoire de ce droit et en qualité de curateur de représentation provisoire en application des art. 306 al. 2 et 310 CC.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Art. 1-456 CC,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Conformément à l’art. 450d CC, la Chambre des curatelles donne à la justice de paix (art. 4 al. LVPAE) l’occasion de prendre position (al. 1), cette autorité pouvant, au lieu de prendre position, reconsidérer sa décision (al. 2). 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op. cit., n. 7 ad 450a CC, p. 2626, et les auteurs cités).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le père des mineurs concernés, partie à la procédure, le présent recours est recevable. Il en va de même des déterminations de l’OCTP et des pièces produites en deuxième instance, si tant est qu’elles ne figurent pas déjà au dossier.</w:t>
      </w:r>
    </w:p>
    <w:p>
      <w:r>
        <w:rPr>
          <w:b/>
        </w:rPr>
        <w:t>E. 2</w:t>
      </w:r>
    </w:p>
    <w:p>
      <w:r>
        <w:t>a) La Chambre des curatelles, qui n'est pas tenue par les moyens et les conclusions des parties, examine d'office si la décision n'est pas affectée de vices d'ordre formel. Il convient dès lors d’examiner si le Juge de paix du district de l’Ouest lausannois était compétent pour prendre la décision entreprise. b) Selon l’art. 315 al. 1 CC, les mesures de protection de l’enfant (cf. art. 307 ss CC) sont ordonnées par l’autorité de protection de l’enfant du domicile de l’enfant. Cela étant, s’il y a un élément d’extranéité, il faut se référer aux règles du droit international privé pour déterminer la compétence des autorités en matière internationale. A teneur de l'art. 85 al. 1 LDIP (Loi fédérale du 18 décembre 1987 sur le droit international privé, RS 291),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Ayant pour objet les mesures tendant à la protection de la personne et des biens de l'enfant, cette convention régit l'attribution et le retrait de l'autorité parentale, le règlement de la garde et des relations personnelles, ainsi que l'instau­ration d'une curatelle (art. 1 et 3 CLaH 96 ; cf. également ATF 132 III 586 c. 2.2.1 et les références citées). Avant son entrée en vigueur le 1 er juillet 2009, le droit interna­tional suisse renvoyait, pour cette matière, à la Convention de La Haye du 5 octobre 1961 concernant la compétence des autorités et la loi applicable en matière de protection des mineurs (ci-après : CLaH 61 ; RS 0.211.231.01) ; cette dernière continue à s'appliquer dans les relations entre la Suisse et les Etats qui n'ont pas ratifié la CLaH 96 (cf. Message concernant la mise en oeuvre des conventions sur l'enlèvement international d'enfants ainsi que l'approbation et la mise en oeuvre des conventions de La Haye en matière de protection des enfants et des adultes du 28 février 2007, FF 2007 p. 2470 ; TF 5A_440/2011 du 25 octobre 2011 c. 2.1), mais seulement pour autant que ces Etats soient parties à la Convention ou l'aient ratifiée (art. 19 ss CLaH 61 et art. 11 ss de la Convention de Vienne du 23 mai 1969 sur le droit des traités [RS 0.111] ; TF 5A_809/2012 du 8 janvier 2013 c. 2.3.1). Dans le cadre des relations avec un Etat n'ayant ratifié ni la CLaH 96 ni la CLaH 61, c'est la première qui s'applique compte tenu du renvoi général de l'art. 85 al. 1 LDIP (TF 5A_809/2012 précité c. 2.3.1 et la jurisprudence citée). L’Italie, qui n’est pas partie à la CLaH 96, a ratifié, tout comme la Suisse, la CLaH 61, de sorte que celle-ci, entrée en vigueur pour la Suisse le 4 février 1969 et pour l’Italie le 23 avril 1995, est applicable. Cette convention régit en particulier l'attribution et le retrait de l'autorité parentale, ainsi que la règle­mentation du droit de déterminer le lieu de résidence et des relations personnelles (TF 5P.122/2006 du 11 juillet 2006 c. 2.2, in La pratique du droit de la famille [FamPra.ch] 2006, p. 986; ATF 124 III 176 c. 4). La CLaH 61 s'applique à tous les mineurs qui ont leur résidence habi­tuel­le dans un des Etats contractants (art. 13 al. 1 CLaH 61), même s'ils ne sont pas ressortissants d'un Etat contractant (Dutoit, Commentaire de la loi fédérale du 18 décembre 1987, 4 e éd., 2005, n. 3 ad art. 85 LDIP, p. 280). Ainsi, ce sont les autorités, tant judiciaires qu'administratives, de l'Etat de la résidence habituelle d'un mineur qui sont compétentes pour prendre les mesures tendant à la protection de sa personne ou de ses biens qui s'imposent et qui sont prévues par leur loi interne (art. 1 et 2 al. 1 CLaH 61). Si la CLaH 61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op. cit., n. 4 ad art. 85 LDIP, p. 281). b) En l’espèce, les enfants B.C.________ et C.C.________ ont vécu en Suisse avec leur mère pendant plusieurs années et résident à [...] depuis 2013 où ils fréquentent un établissement scolaire, de sorte qu’il convient d’admettre que les enfants ont leur résidence habituelle à [...]. Se fondant sur un jugement pénal rendu le 4 décembre 2012 par le Tribunal de [...], le premier juge a retenu qu’il était rendu suffisamment vraisemblable à ce stade qu’au moment du décès de W.________, le recourant exerçait l’autorité parentale conjointe sur ses enfants B.C.________ et C.C.________. Conformément aux art. 297 al.</w:t>
      </w:r>
    </w:p>
    <w:p>
      <w:r>
        <w:rPr>
          <w:b/>
        </w:rPr>
        <w:t>E. 3</w:t>
      </w:r>
    </w:p>
    <w:p>
      <w:r>
        <w:t>Le recourant conteste le retrait provisoire de son droit de déterminer le lieu de résidence de ses enfants, faisant valoir que W.________ a quitté illéga­lement l’Italie pour venir s’établir en Suisse avec ses enfants au printemps 2005, que la mère de ses enfants étant décédée, il est désormais le seul détenteur de l’autorité parentale sur ses enfants, qu’il n’a pas pu voir ses enfants pendant huit ans, que le simple éloignement involontaire de ses enfants ne peut constituer le début d’un indice selon lequel leur développement serait mis en danger à ses côtés et qu’aucun élément ne laisse penser que le développement de ses enfants serait mis en danger en cas de retour en Italie. a)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quel que soit le droit applicable. Par ailleurs, les nouvelles dispositions relatives à l’autorité parentale conjointe sont entrées en vigueur le 1 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 4; Stettler, Le droit suisse de la filiation, Traité de droit privé suisse, III, tome II, 1, p. 247; Meier/Stettler, Droit de la filiation, 5 e éd., 2014, n. 462, pp. 308 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 s., pp. 14 et 310 s.). Ces modifications sont d’ordre purement terminologique. La doctrine et la jurisprudence antérieures demeurent en conséquence pertinentes (cf. CCUR 11 août 2014/177). Quoi qu'il en soit, l'établissement et les effets de la filiation sont soumis à la présente loi dès son entrée en vigueur (art. 12 al. 1 Tit. Fin. CC) et les décisions antérieures aux nouvelles dispositions demeurent en force après l’entrée en vigueur du nouveau droit (art. 12 al. 3 Tit. Fin. CC).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 e éd., Berne 2012, n. 5.2.1.3, p. 814; Knapp, Précis de droit administratif, 4 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Les voeux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5A_107/2007 du 16 novembre 2007 c. 3.2; TF 5A_716/2010 du 23 février 2011 c. 4, in La pratique du droit de la famille [FamPra.ch] 2011 p. 491). b)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le retrait provisoire du droit de déterminer le lieu de résidence avec placement de l’enfant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 er septembre 2008 c. 3 ; cf. art. 261 al. 1 CPC). Toute mesure provisionnelle implique qu’il y ait urgence. Il faut donc qu’il y ait nécessité d’une protection immédiate en raison d’un danger imminent menaçant les droits de l’intéressé (Hohl, Procédure civile, Tome II, 2 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 2.2). c) En l’espèce, W.________ a quitté l’Italie pour venir s’établir en Suisse avec B.C.________ et C.C.________ il y a plusieurs années sans l’accord du recourant. Le recou­rant, alors resté en Italie, n’a pas vu ses enfants pendant huit ans. Il a revu ses enfants pour la première fois lors d’un repas le 20 janvier 2015. Si le recourant n’est en rien responsable du fait qu’il n’a pas pu voir ses enfants pendant tout ce temps, il n’en demeure pas moins que, durant ce long laps de temps, les deux enfants ont vécu une grande partie de leur vie en Suisse, qu’ils ne connaissent pas leur père et que celui-ci ne parle pas le français. B.C.________ et C.C.________, âgés respectivement de quatorze ans et de onze ans, sont aujourd’hui bien intégrés à [...] où ils suivent leur scolarité et ont leur centre de vie de jeunes adoles­cents. Depuis le décès brutal de leur mère, les deux enfants vivent auprès de leur oncle et tante maternels qu’ils connaissent bien et qui semblent disposer des capacités éducatives nécessaires pour les accompagner. B.C.________ est en dernière année d’école obligatoire et se prépare à débuter une formation profes­sionnelle. Enten­du par une juge assesseur le 28 janvier 2015, B.C.________ a dit avoir revu son père avec plaisir et avoir envie de garder des relations avec lui, tout en précisant qu’il redoutait de devoir tout quitter pour aller s’installer en Italie. Il a également parlé avec beaucoup d’émotions de sa mère et exprimé tout l’amour qu’il avait pour elle. Quant à C.C.________, elle a déclaré à la juge assesseur qu’elle aimerait revoir son père, mais qu’elle regretterait de quitter la Suisse et tout son entourage affectif et scolaire. Elle a ajouté qu’elle se trouvait bien chez son oncle et sa tante. Les enfants ont exprimé des propos semblables à l’assistante sociale P.________. Dans ces circonstances particulièrement difficiles, liées au décès brutal de leur mère avec laquelle ils entretenaient des relations étroites, B.C.________ et C.C.________, qui sont en adolescence et préadolescence, ont un besoin réel de pouvoir conserver un espace de vie connu et ils ont besoin de temps pour développer une relation affec­­tive complète avec leur père. Il y a lieu de tenir compte de leur volonté exprimée à réitérées reprises et de ne pas les contraindre à devoir immédiatement tout quitter en Suisse pour aller s’établir en Italie avec leur père. Il convient aussi de prendre en comp­­te le fait que les enfants sont à un âge où de tels changements peuvent provo­quer des difficultés importantes quant à leurs capacités scolaires et de forma­tion pro­fes­sionnelle. Or comme le relève l’assistante sociale P.________, le recourant n’est en l’état pas en mesure de saisir les besoins de stabilité exprimés par ses enfants. La souffrance du recourant d’avoir dû vivre éloigné de ses enfants prend le pas sur la nécessité de permettre à ces derniers de retrouver un certain équilibre émotionnel et affectif avant de pouvoir envisager un avenir éventuel en Italie. A cela s’ajoute le fait qu’il apparaît nécessaire de s’assurer des conditions de vie qui seraient celles des enfants en Italie par le biais d’une enquête d’évaluation effectuée par le Service so­cial international, actuellement en cours. Tout bien considéré, la mesure querellée apparaît conforme au principe de proportionnalité et au bien des enfants qu’il convient de protéger dans leur déve­loppement. La décision du premier juge ne prête pas le flanc à la critique et doit être confirmée. Elle est d’autant plus justifiée que l’on se trouve au stade provisionnel, qu’elle ne préjuge pas du sort de la cause au fond et que la situation sera réexa­minée au terme de l’enquête. Enfin, au regard de l’ensemble des circonstances, les modalités du droit de visite octroyé au recourant par le premier juge, non remises en cause par le recourant, apparaissent parfaitement adéquates, proportionnées et conformes aux intérêts des enfants qui doivent progressivement faire connaissance avec leur père qu’ils ne connaissent pas et établir des liens. Cette décision se justifie d’autant plus qu’il s’agit d’une base de travail susceptible d’être modifiée en tout temps par l’OCTP. La décision peut donc également être confirmée sur ce point. d) L'art. 306 al. 2 CC prévoit que si les père et mère sont empêchés d’agir ou si, dans une affaire, leurs intérêts entrent en conflit avec ceux de l'enfant, l'autorité de protection de l'enfant nomme un curateur ou prend elle-même les mesures nécessaires. L’existence d’un conflit d’intérêts se détermine de manière abstraite et non concrète. En principe, un conflit d’intérêts doit toujours être admis lorsque le représentant a des intérêts propres dans l’affaire, indépendamment du fait que, dans le cas concret, ils sont ou non en contradiction avec ceux du représenté (Geiser, in Commentaire du droit de la famille [CommFam], Protection de l’adulte, Berne 2013, n. 27 ad art. 365 CC, p. 158 et jurisprudence citée). La curatelle de représentation instituée par le premier juge, pour laquelle le recourant ne développe au demeurant aucun moyen, s’avère également nécessaire en l’état. Compte tenu du décès de la mère des enfants, de l’éloignement géographique du recourant et de son manque de connaissances de la langue française, un curateur doit être désigné pour effectuer toutes les démarches adminis­tratives et légales pour les enfants, en particulier celles liées à la succession de leur mère. La décision doit donc aussi être confirmée sur ce point.</w:t>
      </w:r>
    </w:p>
    <w:p>
      <w:r>
        <w:rPr>
          <w:b/>
        </w:rPr>
        <w:t>E. 4</w:t>
      </w:r>
    </w:p>
    <w:p>
      <w:r>
        <w:t>En conclusion, le recours interjeté par A.C.________ doit être rejeté et l’ordonnance entreprise confirmée. Le présent arrêt peut être rendu sans frais judiciaires (art. 74a al. 4 TFJC [Tarif du 28 septembre 2010 des frais judiciaires civils, RSV 270.11.5]). Il n’y a pas lieu d’allouer des dépens au recourant qui n’obtient pas gain de cause. Par ces motifs, la Chambre des curatelles du Tribunal cantonal, statuant à huis clos, prononce : I. Le recours est rejeté. II. La décision est confirmée. III. L’arrêt est rendu sans frais. IV. L'arrêt motivé est exécutoire. La présidente :              La greffière : Du 22 avril 2015 Le dispositif de l'arrêt qui précède est communiqué par écrit aux intéressés. La greffière : Du L'arrêt qui précède, dont la rédaction a été approuvée à huis clos, est notifié à : ‑ Me Véronique Fontana (pour A.C.________), - P.________, assistante sociale auprès de l’Office des curatelles et tutelles professionnelles, - Service de protection de la jeunesse, Unité d’appui juridique, et communiqué à : ‑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