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28 vom 16. Dezember 2014</w:t>
      </w:r>
    </w:p>
    <w:p>
      <w:r>
        <w:t>VD Tribunal cantonal, 2014-12-16, FR</w:t>
      </w:r>
    </w:p>
    <w:p>
      <w:r>
        <w:rPr>
          <w:b/>
        </w:rPr>
        <w:t xml:space="preserve">Quelle: </w:t>
      </w:r>
      <w:r>
        <w:t>https://mcp.opencaselaw.ch/entscheid/vd_findinfo_Arr_t___2015___28</w:t>
      </w:r>
    </w:p>
    <w:p>
      <w:r>
        <w:t>FR: VD_FINDINFO Arrêt / 2015 / 28 du 16 décembre 2014</w:t>
      </w:r>
    </w:p>
    <w:p>
      <w:r>
        <w:t>IT: VD_FINDINFO Arrêt / 2015 / 28 del 16 dicembre 2014</w:t>
      </w:r>
    </w:p>
    <w:p>
      <w:pPr>
        <w:pStyle w:val="Heading2"/>
      </w:pPr>
      <w:r>
        <w:t>Regeste</w:t>
      </w:r>
    </w:p>
    <w:p>
      <w:r>
        <w:t>MESURE PROVISIONNELLE, RELATIONS PERSONNELLES, COMPLÉMENT, ENQUÊTE{EN GÉNÉRAL}, DÉCISION DE RENVOI | 273 CC, 445 al. 1 CC</w:t>
      </w:r>
    </w:p>
    <w:p>
      <w:pPr>
        <w:pStyle w:val="Heading2"/>
      </w:pPr>
      <w:r>
        <w:t>Erwägungen</w:t>
      </w:r>
    </w:p>
    <w:p>
      <w:r>
        <w:rPr>
          <w:b/>
        </w:rPr>
        <w:t>E. 1</w:t>
      </w:r>
    </w:p>
    <w:p>
      <w:r>
        <w:t>Le recours est dirigé contre une ordonnance de mesures provisionnelles du juge de paix fixant les modalités d’exercice du droit de visite d'un père, domicilié en France, sur son fils mineur résidant en Suisse avec sa mère. a) Selon l’art. 315 al. 1 CC, les mesures de protection de l’enfant (cf. art. 307 ss CC) sont ordonnées par l’autorité de protection du domicile de celui-ci. La cause présentant un élément d’extranéité, il convient tout d’abord de se référer aux règles du droit international privé pour déterminer la compétence des autorités en matière internationale. A teneur de l'art. 85 al. 1 LDIP (Loi fédérale du 18 décembre 1987 sur le droit international privé, RS 291),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Cette convention est entrée en vigueur le 1 er juillet 2009 pour la Suisse et le 1 er février 2011 pour la France. Ayant pour objet les mesures tendant à la protection de la personne et des biens de l'enfant, cette convention régit l'attribution et le retrait de l'autorité parentale, le règlement de la garde et des relations personnelles, ainsi que l'instauration d'une curatelle (art. 1 et 3 CLaH 96 ; cf. également ATF 132 III 586 c. 2.2.1 et les références citées).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 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b) En l’espèce, au moment du dépôt de la demande de A.W.________ devant le juge de paix du district d’Aigle, T.________ avait sa résidence habituelle chez sa mère, en Suisse. Tous deux se sont domiciliés dans ce pays à partir du 1 er septembre 2013. Les autorités judiciaires suis­ses étaient donc compétentes pour statuer sur la question des relations person­nelles de l’intimé à l’égard de son fils.</w:t>
      </w:r>
    </w:p>
    <w:p>
      <w:r>
        <w:rPr>
          <w:b/>
        </w:rPr>
        <w:t>E. 2</w:t>
      </w:r>
    </w:p>
    <w:p>
      <w:r>
        <w:t>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b) En l’espèce, interjeté en temps utile par la mère du mineur concerné, partie à la procédure, le présent recours est recevable à la forme. L’autorité de protection s’est déterminée conformément à l’art. 450d al. 1 CC.</w:t>
      </w:r>
    </w:p>
    <w:p>
      <w:r>
        <w:rPr>
          <w:b/>
        </w:rPr>
        <w:t>E. 3</w:t>
      </w:r>
    </w:p>
    <w:p>
      <w:r>
        <w:t>La recourante estime néfaste pour la santé de son fils et la sienne de devoir parcourir, chaque dimanche, une distance approximative de 520 km en voiture, soit six heures de conduite lorsque le trafic est à peu près fluide, afin de permettre à l’intimé de rencontrer son fils. De son avis, le droit de visite qui a été instauré correspond à une sorte de garde alternée et il n'est pas sain pour un enfant de trois ans et demi de devoir presque tous les dimanches parcourir des kilomètres en voiture et changer d’environnement familial pour retrouver son père, le pédiatre de l’enfant ayant d’ailleurs déclaré à ce propos qu’un enfant de l’âge de T.________ a besoin de stabilité et que les trajets que celui-ci est contraint d’effectuer sont très fatigants pour lui. La recourante précise aussi que, travaillant à temps complet, elle ne dispose que d'un seul jour de repos durant la semaine et qu’elle passe ainsi peu de temps libre avec T.________ et ses deux autres enfants, ajoutant qu’elle souffre aussi de problèmes de santé liés à une hernie discale et qu’elle ne peut donc demeurer longtemps en position assise. Au reste, elle déclare de toute façon ne plus pouvoir assurer les trajets entre Rennaz et Voreppe. aa) Les art. 273 ss CC relatifs aux relations personnelles d'un enfant avec ses père et mère ou des tiers n'ont pas été modifiés par l'entrée en vigueur du nouveau droit, de sorte que la doctrine et la jurisprudence antérieures au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 4 et les réf., in La pratique du droit de la famille [FamPra.ch] 2011 p. 491 ; ATF 131 III 209 c. 5, JT 2005 I 201 ; ATF 123 III 445 c. 3b, JT 1998 I 354). Le droit aux relations personnelles vise à sauvegarder le lien existant entre parents et enfants (Hegnauer, Droit suisse de la filiation et de la famille, 4 ème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précité c. 3c).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JT 2005 I 206).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précité ; ATF 118 II 21 c. 3c, JT 1995 I 548 ; TF 5A_448/2008 du 2 octobre 2008 c.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 5 précité ; CREC II 23 mars 2009/50).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(TF 5C.194/2004 du 19 janvier 2005). Selon les régions de Suisse, on trouve des pratiques différentes pour la fixation d'un droit approprié dans des circonstances normales. On ne peut toutefois se reposer sur ces pratiques et il convient de s'assurer qu'un droit de visite usuel est, dans le cas d'espèce, bien conforme à l'intérêt de l'enfant. En Suisse romande, la pratique recourt à un droit de visite assez large d'un week-end sur deux et de la moitié des vacances scolaires lorsque l'enfant est en âge de scolarité, avec parfois une alternance pour les jours fériés - Noël, Nouvel An, Pâques, Ascension et Pentecôte - voire les anniversaires (une année chez l’un, une année chez l'autre) (Leuba/Bastons Bulletti, in Commentaire romand, Code civil I, Bâle 2010, n. 16-17 ad art 273 CC). ab)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(Droit de la protection de l’adulte,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 er septembre 2008 c. 3 ; cf. art. 261 al. 1 CPC). Toute mesure provisionnelle implique qu’il y ait urgence. Il faut donc qu’il y ait nécessité d’une protection immédiate en raison d’un danger imminent menaçant les droits de l’intéressé (Hohl, Procédure civile, Tome II, 2 ème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b) En l’espèce, l'éloignement des domiciles des parties d’environ 400 km nécessite de longs trajets sur des axes routiers très fréquentés; en outre, il n’existe pas d'autres modes de transport plus rapides entre Montélimar et Rennaz. Selon les certificats médicaux produits par la recourante (pièces 3, 4, 5, 6), l’intéressée présente une pathologie dorsale qui la contraint à ne pas dépasser une heure de conduite en voiture et il est contraire à l’intérêt d’un enfant âgé de trois ans et demi, qui voit au demeurant peu sa mère, occupée à travailler à 100 %, de devoir parcourir de longues distances tous les dimanches pour rejoindre son père, cette situation réduisant considérablement la qualité des week-ends qu’il peut passer avec l'un ou l'autre de ses parents et représentant un facteur certain de stress et de fatigue. A cela s’ajoute que le père et la mère ont chacun des enfants d’une union précédente et que les trajets peuvent porter atteinte à l'équilibre des deux ménages. En outre, contrairement à ses géniteurs, l’enfant subit à chaque fois l'intégralité du voyage. Certes, comme l'a relevé le premier juge, l'intérêt de l’enfant à maintenir des rapports suffisamment étroits avec sa famille paternelle doit aussi être pris en compte. En outre, le fait pour la mère d’avoir déménagé en Suisse, qui plus est à Rennaz, alors qu’elle avait affirmé devant la juge aux affaires familiales avoir l'intention de s'établir et de travailler à Genève, lui est directement imputable. Cela étant, la recourante a établi souffrir d'un problème de santé. On ne peut faire abstraction de celui-ci et la contraindre à se conformer à des modalités d’exercice du droit de visite manifestement inadaptées même si l’intimé a proposé de parcourir 70 km de plus pour réduire le trajet qu’elle parcourt. De toute façon, l'intérêt de l'enfant ne réside très certainement pas dans le système actuel qui privilégie une certaine forme d'égalité entre les parents mais prétérite sa qualité de vie. On ajoutera d’ailleurs à cet égard que l’enfant serait le premier à pâtir d’une aggravation de l’état de santé de sa mère si celle-ci devait continuer à effectuer les trajets actuels. Dès lors, compte tenu des circonstances, la cour de céans ne peut partager l’avis du premier juge selon lequel une restriction du droit de visite, privilégiant la qualité des relations du père avec son fils au détriment de leur fréquence, ne serait pas préférable pour le développement et l'équilibre de celui-ci. Compte tenu du contexte et de l’urgence, il convient donc de revoir les conditions d’exercice du droit de visite et d’envisager une solution permettant au père de voir son enfant moins souvent mais dans des conditions plus favorables et exemptes de stress et de fatigue. Ce réexamen impliquant d’étudier les contraintes professionnelles de l’intimé ainsi que d’éventuels autres impératifs, il apparaît opportun d’inviter l’autorité de protection à procéder à un complément d’enquête, cette autorité ayant une connaissance approfondie du dossier et pouvant dès lors procéder avec toute la célérité requise à la réévaluation de la situation.</w:t>
      </w:r>
    </w:p>
    <w:p>
      <w:r>
        <w:rPr>
          <w:b/>
        </w:rPr>
        <w:t>E. 4</w:t>
      </w:r>
    </w:p>
    <w:p>
      <w:r>
        <w:t>En conclusion,  le recours doit être admis, l’ordonnance annulée et la cause renvoyée au Juge de paix du district d’Aigle pour qu’il procède dans le sens des considérants. a) Selon décision du juge délégué du 4 novembre 2014, la recourante a été mise au bénéfice de l’assistance judiciaire. Dans sa liste des opérations valant pour la période du 6 octobre au 26 novembre 2014, son conseil, Me Nicolas Mattenberger, a indiqué avoir consacré six heures et vingt-sept minutes à l’accomplissement de son mandat. Si ce temps d’exécution apparaît dans l’ensemble raisonnable au regard de la nature et des difficultés de la cause, il convient toutefois d’en retrancher vingt-sept minutes que l’intéressé a déclaré avoir réservées à la transmission d’avis, ce type de tâches relevant d’un pur travail de secrétariat et ne pouvant être prises en compte au titre de l’activité déployée par un avocat (Juge unique CREP 2 juin 2014/379 c. 3b; Juge unique CREP 6 mai 2014/310 c. 2b; CCUR 8 juillet 2014/146; CREC 3 septembre 2014/312). Compte tenu d’un tarif horaire de 180 fr. hors TVA (art. 2 al. 1 let. a RAJ [Règlement du 7 décembre 2010 sur l'assistance judiciaire en matière civile, RSV 211.02.3]), c’est par conséquent une indemnité de 1’080 fr., montant auquel doivent s’ajouter 66 fr. 90 de débours (art. 2 al. 3 RAJ) et 8 % de TVA calculés sur ces deux montants, soit 91 fr. 75, soit, en définitive, une somme totale de 1'238 fr. 65, qu’il convient d’allouer à Me Mattenberger. Dans la mesure de l'art. 123 CPC, la bénéficiaire de l'assistance judiciaire est tenue au remboursement de l’indemnité de son conseil d’office, mise à la charge de l'Etat. b) Le présent arrêt peut être rendu sans frais judiciaires (art. 74a al. 4 TFJC [Tarif du 28 septembre 2010 des frais judiciaires civils, RSV 270.11.5]). Obtenant gain de cause, la recourante, qui a procédé par l’intermédiaire d’un mandataire professionnel, a droit à des dépens de deuxième instance qu'il convient d'arrêter à 1'800 fr. et de mettre à la charge de l’intimé (art. 95, 96 et 106 al. 1 CPC). Par ces motifs, la Chambre des curatelles du Tribunal cantonal, statuant à huis clos, prononce : I. Le recours est admis. II. L’ordonnance est annulée et la cause est renvoyée au Juge de paix du district d’Aigle pour qu’il procède dans le sens des considérants. III. L’indemnité de Me Nicolas Mattenberger, conseil d’office de la recourante, est arrêtée à 1'238 fr. 65 (mille deux cent trente-huit francs et soixante-cinq centimes), TVA et débours compris, pour la procédure de recours. IV. L’intimé A.H.________ doit verser à la recourante A.W.________ la somme de 1'800 fr. (mille huit cents francs) à titre de dépens de deuxième instance. V. La bénéficiaire de l’assistance judiciaire est, dans la mesure de l’art. 123 CPC, tenue au remboursement de l’indemnité du conseil d’office mise à la charge de l’Etat. VI. Les frais judiciaires de deuxième instance, arrêtés à 200 fr. (deux cents francs), sont mis à la charge de l’intimé A.H.________. VII. L’arrêt motivé est exécutoire. La présidente :              La greffière : Du 16 décembre 2014 Le dispositif de l'arrêt qui précède est communiqué par écrit aux intéressés. La  greffière  : Du L'arrêt qui précède, dont la rédaction a été approuvée à huis clos, est notifié à : ‑ Me Nicolas Mattenberger (pour A.W.________), ‑ Me Antoine Eigenmann (pour A.H.________), et communiqué à : ‑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