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245 vom 29. April 2015</w:t>
      </w:r>
    </w:p>
    <w:p>
      <w:r>
        <w:t>VD Tribunal cantonal, 2015-04-29, FR</w:t>
      </w:r>
    </w:p>
    <w:p>
      <w:r>
        <w:rPr>
          <w:b/>
        </w:rPr>
        <w:t xml:space="preserve">Quelle: </w:t>
      </w:r>
      <w:r>
        <w:t>https://mcp.opencaselaw.ch/entscheid/vd_findinfo_Arr_t___2015___245</w:t>
      </w:r>
    </w:p>
    <w:p>
      <w:r>
        <w:t>FR: VD_FINDINFO Arrêt / 2015 / 245 du 29 avril 2015</w:t>
      </w:r>
    </w:p>
    <w:p>
      <w:r>
        <w:t>IT: VD_FINDINFO Arrêt / 2015 / 245 del 29 aprile 2015</w:t>
      </w:r>
    </w:p>
    <w:p>
      <w:pPr>
        <w:pStyle w:val="Heading2"/>
      </w:pPr>
      <w:r>
        <w:t>Regeste</w:t>
      </w:r>
    </w:p>
    <w:p>
      <w:r>
        <w:t>AGGRAVATION DE L'ATTEINTE À LA SANTÉ, MESURE D'INSTRUCTION{ASSURANCE SOCIALE}, RÉVISION{PRESTATION D'ASSURANCE}, DÉCISION DE RENVOI | 28 LAI, 17 LPGA, 6 LPGA, 7 LPGA, 8 LPGA, 87 RAI, 88a RAI, 88bis RAI</w:t>
      </w:r>
    </w:p>
    <w:p>
      <w:pPr>
        <w:pStyle w:val="Heading2"/>
      </w:pPr>
      <w:r>
        <w:t>Erwägungen</w:t>
      </w:r>
    </w:p>
    <w:p>
      <w:r>
        <w:rPr>
          <w:b/>
        </w:rPr>
        <w:t>E. 2</w:t>
      </w:r>
    </w:p>
    <w:p>
      <w:r>
        <w:t>et la référence ; TFA I 90/2005 du 8 juin 2006 consid. 2.2). 3.3 In casu, l’intimé est entré en matière sur la quatrième demande de prestations AI formulée par l’assurée après avoir constaté que les éléments produits par celle-ci ne permettaient pas d’exclure a priori une aggravation de son état de santé depuis la précédente décision de refus de prestations entrée en force, à savoir celle du 25 septembre 2008, au demeurant confirmée sur recours par arrêt de la Cour de céans du 13 décembre 2010. Au terme de l’instruction complète de la situation de la recourante, l’OAI a admis une modification de l’état de fait, soit une capacité de travail de 100% restreinte à certaines activités spécifiques du fait de limitations fonctionnelles oséoarticulaires. Cela étant, il a retenu que cette modification n’était pas suffisante pour ouvrir le droit à des prestations de l’AI du fait d’un taux d’invalidité ascendant à 15%. Dès lors, il y a lieu d’examiner les bases matérielles – sur les plans médical et économique – de la décision du 8 octobre 2014, tout en concédant, à l’instar de l’OAI, qu’une procédure de révision en vertu de l’art. 17 al. 1 LPGA se justifiait effectivement dans le cas de la recourante au vu des pièces produites à l’appui de sa nouvelle requête, singulièrement de la prise en charge psychiatrique débutée le 15 juin 2011. En particulier, il s’agira de se prononcer sur la valeur probante des différentes pièces médicales versées au dossier, les griefs de la recourante portant sur l’appréciation de sa capacité résiduelle de travail.</w:t>
      </w:r>
    </w:p>
    <w:p>
      <w:r>
        <w:rPr>
          <w:b/>
        </w:rPr>
        <w:t>E. 4.1</w:t>
      </w:r>
    </w:p>
    <w:p>
      <w:r>
        <w:t>En vertu de l’art. 8 al. 1 LPGA, est réputée invalidité l’incapacité de gain totale ou partielle qui est présumée permanente ou de longue durée, résultant d’une infirmité congénitale, d’une maladie ou d’un accident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 teneur de l'art. 4 al. 1 LAI, l'invalidité (art. 8 LPGA) peut résulter d'une infirmité congénitale, d'une maladie ou d'un accident. L'invalidité est réputée survenue dès qu'elle est, par sa nature et sa gravité, propre à ouvrir droit aux prestations entrant en considération (al. 2). Selon l’art. 28 al. 2 LAI (en vigueur depuis le 1 er janvier 2008),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w:t>
      </w:r>
    </w:p>
    <w:p>
      <w:r>
        <w:rPr>
          <w:b/>
        </w:rPr>
        <w:t>E. 4.2</w:t>
      </w:r>
    </w:p>
    <w:p>
      <w:r>
        <w:t>Les atteintes à la santé psychique peuvent, comme les atteintes physiques, entraîner une invalidité au sens de l'art. 4 al. 1 LAI en lien avec l'art.</w:t>
      </w:r>
    </w:p>
    <w:p>
      <w:r>
        <w:rPr>
          <w:b/>
        </w:rPr>
        <w:t>E. 4.3</w:t>
      </w:r>
    </w:p>
    <w:p>
      <w:r>
        <w:t>L’on ajoutera qu’en vertu de la jurisprudence fédérale, les facteurs psychosociaux ou socioculturels, que peuvent constituer notamment des circonstances contextuelles particulières,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(cf. ATF 127 V 294 consid. 5a ; TF 9C_144/2010 du 10 décembre 2010 consid. 4.1 et référence citée). 5. 5.1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 105 V 156 consid. 1 ; TFA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w:t>
      </w:r>
    </w:p>
    <w:p>
      <w:r>
        <w:rPr>
          <w:b/>
        </w:rPr>
        <w:t>E. 8</w:t>
      </w:r>
    </w:p>
    <w:p>
      <w:r>
        <w:t>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Lorsqu’une appréciation d’un médecin interne à l’assureur social est remise en doute par l’avis d’un médecin traitant ou d’un expert privé auquel on peut également attribuer un caractère probant, il y a lieu de mettre en œuvre une expertise par un médecin indépendant selon la procédure de l’art. 44 LPGA (ATF 135 V 465). 5.2 Par ailleurs, il y a lieu de rappeler que le juge apprécie en règle générale la légalité des décisions entreprises d'après l'état de fait existant au moment où la décision litigieuse a été rendue (ATF 131 V 242 consid. 2.1 ; 121 V 362 consid. 1b). Néanmoins, un avis médical, même rendu postérieurement à une décision, doit être pris en compte s'il permet d'apprécier les circonstances au moment où celle-ci a été prononcée (ATF 99 V 98 consid. 4 ; TF 9C_193/2012 du 26 juillet 2012 et jurisprudence citée ; 9C_105/2008 du 23 juin 2008 consid. 2.2). 6. S’agissant du volet médical de ce dossier, soit de l’estimation de la capacité de travail de la recourante, celle-ci a fait l’objet d’un examen médical approfondi sur les plans psychiatrique et rhumatologique auprès du SMR le</w:t>
      </w:r>
    </w:p>
    <w:p>
      <w:r>
        <w:rPr>
          <w:b/>
        </w:rPr>
        <w:t>E. 13</w:t>
      </w:r>
    </w:p>
    <w:p>
      <w:r>
        <w:t>mai 2013 par les Drs T.________ et A.________. 6.1 A la lecture du rapport d’examen corrélatif, l’on se doit de constater qu’il remplit à l’évidence la totalité des critères posés par la jurisprudence fédérale rappelée supra, de sorte que l’on ne voit aucune raison de lui dénier pleine valeur probante. Singulièrement, les spécialistes du SMR ont procédé à des investigations extrêmement minutieuses et fouillées de l’état de santé objectif de la recourante, sans manquer de détailler les éléments pertinents de l’anamnèse et de relever exhaustivement les plaintes alléguées. Ils ont en particulier opéré une analyse complète de l’ensemble des pièces médicales et avis spécialisés à disposition, le Dr T.________ ayant au surplus fait procéder à de nouvelles radiographies de la colonne, du bassin, des genoux et des hanches de l’assurée. Ils ont par ailleurs discuté les diagnostics ressortant à leur champ de compétences, retenus ou évoqués dans le cas de la recourante, avant de communiquer leurs conclusions. Ces dernières, pour le moins étayées, apparaissent tout à fait convaincantes compte tenu des observations cliniques consignées à l’issue du rapport du 22 mai 2013. 6.2 L’on ne voit par ailleurs pas que les rapports des médecins traitants de l’assurée, en particulier des Dresses N.________, G.________ et R.________, soient de nature à faire douter des conclusions des Drs T.________ et A.________, à tout le moins s’agissant de la période antérieure à janvier 2014. En effet, sur le plan physique, les diagnostics évoqués par les Dresses N.________ et G.________ (cf. rapports respectifs de ces praticiennes des 10 juin 2011, 11 juillet 2012 et 21 novembre 2012) ont largement été discutés par les examinateurs du SMR, tandis que la pathologie affectant principalement la recourante demeure celle de fibromyalgie ou trouble somatoforme douloureux persistant. D’ailleurs, il peut être déduit a contrario du rapport de la Dresse [...] du 10 septembre 2014 que celle-ci a pris acte des observations du SMR, dans la mesure où elle ne fait état d’une évolution sensible de la situation de sa patiente qu’à partir de janvier 2014, sans émettre quelconque remarque en lien avec la teneur du rapport d’examen SMR du 22 mai 2013. Quant à la Dresse G.________, cette spécialiste ne s’est pas prononcée spécifiquement en termes de capacité résiduelle de travail, mais s’est limitée à confirmer le diagnostic de syndrome douloureux chronique et à envisager des mesures thérapeutiques en vue de soulager l’assurée. Concernant les conséquences de la fibromyalgie (ou trouble somatoforme douloureux persistant), considérée comme une affection psychique, les spécialistes du SMR ont également exposé à satisfaction les raisons les conduisant à nier la réalisation des critères jurisprudentiels qui justifieraient la reconnaissance d’une incapacité de travail (cf. considérant 4.2 supra). En particulier, le SMR a expliqué, de manière à emporter la conviction, que le diagnostic de « trouble dépressif récurrent », posé par la Dresse R.________ auprès de la recourante, ne pouvait être retenu, puisqu’un épisode dépressif n’avait été observé pour la première fois qu’à partir de juin 2011 et se trouvait au surplus en rémission. En outre, les spécialistes du SMR ont relevé qu’un tel épisode s’inscrivait précisément dans le contexte du trouble douloureux affectant l’assurée, ce qui excluait de l’élever au rang de comorbidité psychiatrique spécifique. L’on ajoutera au surplus que le rapport de la Dresse R.________ du 19 juillet 2012 peine à convaincre en ce qu’elle a évoqué la présence d’un trouble dépressif depuis 1980 en l’absence d’éléments anamnestiques corroborant un tel constat, ce alors que la prise en charge psychothérapeutique de cette spécialiste n’a débuté qu’en juin 2011. Enfin, ainsi que l’ont remarqué les examinateurs du SMR, les autres critères énoncés par la jurisprudence fédérale ne sont pas davantage réunis en l’espèce en l’absence d’état psychique cristallisé et de repli social dans toutes les manifestations de la vie chez une assurée qui a été en mesure de déployer une activité lucrative de 30% dès 2009. Compte tenu de ce qui prècède, il convient de se fonder sur les conclusions du SMR, singulièrement du rapport du 22 mai 2013, pour considérer, à l’instar de l’intimé, que la recourante était dotée d’une capacité de travail de 100% dans une activité respectant les limitations fonctionnelles énoncées exhaustivement dans ledit rapport, ce à tout le moins jusqu’en janvier 2014. 7. Reste à examiner l’aspect économique du dossier de la recourante, soit l’évaluation de son invalidité au taux de 15%, tel que déterminé par l’OAI. En vertu de l’art. 28a al. 1 LAI, l’art. 16 LPGA s’applique à l’évaluation de l’invalidité des assurés exerçant une activité lucrative.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In casu, en l’absence de données concrètes sur les revenus avec et sans invalidité, l’OAI s’est référé aux statistiques salariales ressortant de l’ESS pour fixer ces éléments en se fondant sur une activité de niveau élémentaire, tous secteurs d’activité confondus. Il a par ailleurs effectué une réduction du salaire statistique d’invalide à hauteur de 15% pour tenir compte de l’âge de l’assurée et de ses limitations fonctionnelles. Ce procédé, que l’assurée ne conteste d’ailleurs pas, ne prête aucunement flanc à la critique, ce qui justifie la confirmation d’un degré d’invalidité de 15% et de la décision litigieuse. 8. Cela étant, il faut relever que, par le biais d’un correspondance de la Dresse N.________, adressée au SMR le 10 septembre 2014, l’assurée a fait valoir une aggravation de son état de santé, étayée par de nouveaux diagnostics. Sont mentionnées à ce titre une « fasciite plantaire » se manifestant par des « talalgies devenant invalidantes dès le début de l’année 2014 » et une « rhizarthrose bilatérale » ayant entraîné une enflure du poignet droit et des doigts de la main droite, constatée par le médecin traitant précité à sa consultation du 9 septembre 2014. Ce dernier élément a nécessité les investigations subséquentes conduites par le Prof. Z.________, soit l’IRM du 16 octobre 2014. Vu ces éléments et l’avis du SMR du 25 novembre 2014 y relatif, transmis à la Cour de céans le 2 décembre 2014, il faut considérer que l’assurée a rendu plausible une modification de son état de santé dans le sens entendu par l’art. 87 al. 2 RAI, auquel renvoie l’art. 87 al. 3 RAI. Il incombe dès lors à l’OAI d’instruire cette demande de révision et de statuer derechef sur les droits de l’assurée par une nouvelle décision. Ainsi que le souligne l’OAI dans son écriture du 2 décembre 2014, les nouveaux diagnostics posés dans le cas de la recourante et leur éventuel impact en termes de capacité de travail et de gain ne sauraient toutefois conduire à l’annulation de la décision du 8 octobre 2014. L’examen d’un droit à une rente ne peut en effet entrer en ligne de compte avant l’échéance du délai de carence d’un an consacré par l’art. 28 al. 1 LAI, échu au plus tôt en janvier 2015. En outre, in casu, dans l’hypothèse où le droit à une rente venait à être reconnu, il s’imposerait également de prendre en considération l’échéance prescrite par l’art. 29 al. 1 LAI (cf. sur cette question : Ulrich Meyer/Marco Reichmuth, Invalidenversicherungsgesetz (IVG), 3 ème éd. 2014, n. 10 art. 29 LAI). Cette disposition prévoit que le droit à la rente prend naissance au plus tôt à l’échéance d’une période de six mois à compter de la date à laquelle l’assuré a fait valoir son droit aux prestations conformément à l’art. 29 al. 1 LPGA. A teneur de l’art. 29 al. 3 LPGA,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En conséquence, dans le cadre de la procédure de révision qu’il appartiendra à l’intimé de conduire sur le fond, il devra prendre en considération, au titre de date de la nouvelle demande, la date du 10 septembre 2014 correspondant à la correspondance de la Dresse N.________ à l’adresse du SMR, dont la teneur a été confirmée par l’assurée aux termes de son mémoire de recours du</w:t>
      </w:r>
    </w:p>
    <w:p>
      <w:r>
        <w:rPr>
          <w:b/>
        </w:rPr>
        <w:t>E. 16</w:t>
      </w:r>
    </w:p>
    <w:p>
      <w:r>
        <w:t>octobre 2014. 9. Il résulte de l’exposé qui précède que le recours, mal fondé, doit être rejeté et la décision querellée confirmée. La cause est néanmoins renvoyée à l’intimé pour qu’il instruise et statue sur la demande de révision déposée par la recourante, par l’intermédiaire de son médecin traitant, en date du 10 septembre 2014. 9.1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la recourante, sont arrêtés à 400 francs. 9.2 Vu l’issue du recours, la recourante n’obtenant pas gain de cause et n’étant de toute façon pas représentée, il n’y a pas lieu d'allouer une indemnité de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