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226 vom 6. März 2015</w:t>
      </w:r>
    </w:p>
    <w:p>
      <w:r>
        <w:t>VD Tribunal cantonal, 2015-03-06, FR</w:t>
      </w:r>
    </w:p>
    <w:p>
      <w:r>
        <w:rPr>
          <w:b/>
        </w:rPr>
        <w:t xml:space="preserve">Quelle: </w:t>
      </w:r>
      <w:r>
        <w:t>https://mcp.opencaselaw.ch/entscheid/vd_findinfo_Arr_t___2015___226</w:t>
      </w:r>
    </w:p>
    <w:p>
      <w:r>
        <w:t>FR: VD_FINDINFO Arrêt / 2015 / 226 du 6 mars 2015</w:t>
      </w:r>
    </w:p>
    <w:p>
      <w:r>
        <w:t>IT: VD_FINDINFO Arrêt / 2015 / 226 del 6 marzo 2015</w:t>
      </w:r>
    </w:p>
    <w:p>
      <w:pPr>
        <w:pStyle w:val="Heading2"/>
      </w:pPr>
      <w:r>
        <w:t>Regeste</w:t>
      </w:r>
    </w:p>
    <w:p>
      <w:r>
        <w:t>DROIT D'ÊTRE ENTENDU, CURATELLE DE GESTION, CURATELLE DE REPRÉSENTATION, REJET DE LA DEMANDE, PERSONNE PROCHE, CHOIX{EN GÉNÉRAL}, CURATEUR | 394 al. 1 CC, 394 al. 2 CC, 395 al. 1 CC, 400 al. 1 CC, 400 CC, 401 al. 2 CC, 450 CC</w:t>
      </w:r>
    </w:p>
    <w:p>
      <w:pPr>
        <w:pStyle w:val="Heading2"/>
      </w:pPr>
      <w:r>
        <w:t>Erwägungen</w:t>
      </w:r>
    </w:p>
    <w:p>
      <w:r>
        <w:rPr>
          <w:b/>
        </w:rPr>
        <w:t>E. 1</w:t>
      </w:r>
    </w:p>
    <w:p>
      <w:r>
        <w:t>Le recours est dirigé contre une décision de la justice de paix instituant une curatelle de représentation et de gestion à forme des art. 394 al. 1 et 395 al. 2 CC en faveur d’ A.J.________ et désignant X.________ en qualité de curateur.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e éd., Bâle 2014,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interjeté en temps utile par les trois fils de la per­son­ne concernée, à qui la qualité de proches doit être reconnue, le présent recours est recevable. Les pièces produites en deuxième instance, si tant est qu’elles ne figurent pas déjà au dossier, sont également recevables. Le recours étant manifestement mal fondé au vu des considérations qui seront développées ci-après, il a été renoncé à consulter l’autorité de protection (cf. art. 450d al. 1 ; Reusser, Basler Kommentar, op. cit., nn. 6 ss ad art. 450d CC, pp. 2640-2641) et le curateur n’a pas été invité à se déterminer.</w:t>
      </w:r>
    </w:p>
    <w:p>
      <w:r>
        <w:rPr>
          <w:b/>
        </w:rPr>
        <w:t>E. 2</w:t>
      </w:r>
    </w:p>
    <w:p>
      <w:r>
        <w:t>a) La Chambre des curatelles, qui n’est pas tenue par les moyens et les conclusions des parties, examine d’office si la décision n’est pas affectée de vices d’ordre formel. b) Les recourants invoquent la violation de leur droit d’être entendus. Ils critiquent le fait qu’aucun d’eux n’ait été cité à comparaître devant la justice de paix avant qu’elle ne rende la décision attaquée et qu’ils n’aient pas reçu une copie de celle-ci. c)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 3.1, non publié in ATF 140 III 1 ; ATF 137 I 195 c.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JT 2010 I 720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 4.1 et les références citées). Ce droit ne s’étend toutefois qu’aux éléments pertinents pour décider de l’issue du litige (ATF 130 II 425 c. 2.1 ; ATF 129 II 497 c. 2.2). d) En l’espèce, le juge de paix a procédé seul à l’audition de la personne concernée lors de son audience du 12 mars 2014, A.J.________ ayant expres­­sé­ment renoncé à son audition par la justice de paix en corps, de sorte que son droit d’être entendue a été respecté. Les recourants n’ont quant à eux pas été entendus par le juge de paix. La loi n’impose toutefois pas à l’autorité de protection de permettre à tous les membres de la famille de la personne concernée de participer à une procédure relative à l’institution d’une mesure de protection de l’adulte. Le Tribunal fédéral a rappelé que le représentant de la personne concernée n’avait aucun droit d’être entendu personnellement (TF 5A_857/2010 du 12 janvier 2011 c. 3 ; Steck, in Commentaire du droit de la famille [CommFam], Protection de l’adulte, Berne 2013, n. 19 ad art. 447 CC). En revanche, l’art. 443 al. 1 CC permet à toute personne d’aviser l’autorité de protection qu’une personne semble avoir besoin d’aide. Il n’en reste pas moins qu’en l’absence, d’une part, de toute manifestation auprès de l’auto­rité et, d’autre part, du droit de présenter une requête, la personne n’a aucun droit à ce que la décision relative à l’ouverture de la procédure lui soit communiquée, pas plus qu’elle ne peut prétendre participer au procès ou exiger qu’une décision matérielle lui soit communiquée (Steck, CommFam, n. 13 ad art. 445 CC). L’autorité de protection n’avait par conséquent pas à procéder à l’audition des recourants ou à leur com­muni­quer quoi que ce soit. La cour de céans ne discerne donc aucune violation du droit d’être entendus des recourants. Quoi qu’il en soit, ceux-ci ont pu exprimer leur point de vue dans leur recours. La Chambre des curatelles disposant d’un plein pouvoir d’examen en fait et en droit (cf. 450a CC ; ATF 137 I 195 c. 2.3.2), un éventuel vice a été réparé dans le cadre de la présente procédure.</w:t>
      </w:r>
    </w:p>
    <w:p>
      <w:r>
        <w:rPr>
          <w:b/>
        </w:rPr>
        <w:t>E. 3</w:t>
      </w:r>
    </w:p>
    <w:p>
      <w:r>
        <w:t>Les recourants contestent la curatelle de représentation et de gestion instituée en faveur de leur mère et sollicitent la levée de cette mesure, tout en observant que la situation de leur mère a passablement changé, que son état de santé s’est péjoré, qu’elle a été hospitalisée plusieurs fois en 2014, qu’elle séjourne à l’hôpital depuis le 12 août 2014, qu’ils ont été convoqués à un réseau avec les coordinateurs de l’hôpital, que l’état de santé de leur mère et son degré d’autonomie ne permettent pas d’envisager son retour à domicile, qu’une entrée en EMS doit être envisagée dès que possible et que les arriérés d’impôts et d’assurance maladie de leur mère sont réglés. a/aa) Aux termes de l’art. 394 CC, une curatelle de représentation est instituée lorsque la personne qui a besoin d’aide ne peut accomplir certains actes et doit de ce fait être représentée (al. 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op. cit., nn. 9 s. ad art. 390 CC, p. 385 ; Meier/Lukic, op. cit., n. 400, p. 191 ; Guide pratique COPMA, n. 5.9, p. 37). Quant à l'état de faiblesse, il s'agit d'une formulation large, qui permet d'englober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Cette notion résiduelle d'état de faiblesse doit être utilisée restrictive­ment, notamment pour les cas extrêmes d'inexpérience. En d'autres termes, une faiblesse de la volonté dans une situation financière peut justifier une curatelle de représentation ; de même, le besoin de protection doit se mesurer au genre d'affaires que l'intéressé est appelé à gérer (Steinauer/Fountoulakis, Droit des personnes physiques et de la protection de l'adulte, nn. 133-134, pp. 43-44).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il peut s'agir d'intérêts patrimoniaux ou personnels (Meier/Lukic, op. cit., n. 405, p. 193; Guide pratique COPMA, n. 5.10, p. 138).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à 443, et n. 11 ad art. 395 CC, p. 452; Meier/Lukic, op. cit., n. 463, p. 216). Les conditions d’institution de la curatelle de gestion sont les mêmes que pour la curatelle de représentation (Meier/Lukic, op. cit., n. 472, p. 219).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Lorsqu’elle détermine les biens sur lesquels portent les pouvoirs du curateur, l’autorité de protection doit tenir compte des besoins de la personne concernée, en application du principe général de l’art. 391 al. 1 CC (TF 5A_540/2013 du 3 décembre 2013 c. 5.1.1).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La personne concernée peut être privée ou non de l’exercice des droits civils (Meier/Lukic, op. cit., nn. 458 et 475, pp. 214 et 220 ; cf. art. 394 al. 2 CC). Si l’autorité de protection décide de limiter l’exercice des droits civils, elle doit le prévoir expressément dans le dispositif de la décision et déterminer à quels biens, parmi ceux confiés à la gestion du curateur, ce retrait s’étend (Meier, CommFam, n. 12 ad art. 395 CC, p. 453). bb) Aux termes de l’art. 389 al. 1 ch. 1 CC, l’autorité de protection ordonne une mesure lorsque l’appui fourni à la personne ayant besoin d’aide par les membres de sa famille, par d’autres proches ou par des services publics ne suffit pas ou semble a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b) En l’espèce, A.J.________, âgée de septante-cinq ans, a elle-même sollicité l’institution d’une mesure de protection en sa faveur en invoquant ses graves problèmes de santé et le fait que, malgré l’intervention de son fils aîné B.J.________ pour la gestion de ses affaires courantes, sa situation financière se détériorait. Selon le Dr [...],A.J.________, qui souffre de diverses pathologies, est capable de discernement et comprend la portée de ses actes, présente un han­dicap physique et une très légère déficience psychique liée à l’âge. Lors de son audi­tion par le juge de paix le 12 mars 2014, A.J.________ a confirmé sa requête de curatelle tout en expliquant qu’elle avait des arriérés de factures impayés malgré l’aide apportée par son fils aîné et qu’elle n’avait aucun retour de la gestion assumée par celui-ci. Il résulte du dossier que l’état de santé d’A.J.________ s’est passablement détérioré depuis que la décision querellée a été rendue, ce que les recou­rants reconnaissent dans leur recours. A.J.________ a été hospitalisée à plusieurs reprises en 2014, la dernière fois le 28 novem­bre 2014, et lors du colloque du 9 février 2015, les différents intervenants profes­sionnels de l’Hô­pi­tal de [...] ont observé que l’état de santé d’A.J.________ et son degré d’autonomie ne lui permettaient pas de regagner son domicile et qu’un séjour en EMS devait être envisagé. Cela étant, l’instruction a permis d’établir que l’aide apportée à A.J.________ par son fils aîné n’est pas suffisante pour sauvegarder ses intérêts, preuve en sont les arriérés d’impôts et d’assurance maladie impayés et les deux poursuites en cours le 21 mars 2014 pour un montant total de 2'934 francs. Il résulte des éléments qui précèdent qu’A.J.________ se trouve dans un état de fai­blesse affectant sa condition personnelle en raison de déficiences liées à son âge et qu’elle n’est pas en mesure d’assurer elle-même les mesures relatives à son état de santé et de ses intérêts patrimoniaux, ainsi que la gestion de ses affaires adminis­tratives. La cause et la condition d’une curatelle de représentation et de gestion sont ainsi réalisées. L’institution d’une mesure de protection plus modérée, telle une curatelle d’accompagnement, apparaît en l’état manifestement insuffisante pour sauvegarder les intérêts de la personne concernée à satisfaction. Il convient également de restreindre l’exercice des droits civils de l’intéressée pour tous les actes l’engageant personnellement, seule mesure à même d’apporter à A.J.________ la protection dont elle a besoin. Partant, le recours est mal fondé et la décision entreprise doit être confirmée sur ce point.</w:t>
      </w:r>
    </w:p>
    <w:p>
      <w:r>
        <w:rPr>
          <w:b/>
        </w:rPr>
        <w:t>E. 4</w:t>
      </w:r>
    </w:p>
    <w:p>
      <w:r>
        <w:t>Les recourants souhaitent que B.J.________, fils aîné de la personne concernée, soit désigné en qualité de curateur. 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Le curateur doit posséder les aptitudes et connaissances nécessaires aux tâches prévues (art. 400 al. 1 CC; Guide pratique COPMA, nn. 6.5 ss, pp. 180 ss), c’est-à-dire les qualités personnelles et relationnelles ainsi que les compétences professionnelles requises pour les accomplir, l’autorité de protection étant tenue de vérifier d’office que cette condition est réalisée (Message du Conseil fédéral du 28 juin 2006 à l’appui de la révision du droit de la protection de l’adulte [Message], FF 2006 p. 6683; TF 5A_691/2013 du 14 janvier 2014 c. 2.3.2 et réf. citées). Le critère déterminant pour la nomination d’une personne est son aptitude à effectuer les tâches qui lui seront confiées (Message, FF 2006 p. 6683).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(Guide pratique COPMA, n. 6.21, p. 186; Meier/Lukic, op. cit., n. 546, p. 249).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L’autorité de protection dispose toutefois d’un large pouvoir d’appréciation et les souhaits des proches au sens de l’art. 420 CC ne sont pris en considération que dans la mesure du possible (Häfeli, CommFam, n. 2 ad art. 401 CC, p. 519; Meier/Lukic, op. cit., n. 547, p. 250 ; Guide pratique COPMA, n. 6.22, p. 187). Cela a notamment du sens lorsque la personne concernée n’est pas en mesure de s’exprimer elle-même. En raison de la termino­logie choisie par le législateur, le pouvoir d’appréciation de l’autorité s’avère plus étendu que pour la désignation d’un curateur de confiance (Häfeli, loc. cit.). L’autorité de protection de l’adulte doit en outre veiller à ce qu’il n’y ait pas de conflit d’intérêts entre la personne à protéger et celle qui est pressentie comme curatrice (Häfeli, op. cit., n. 2 ad art. 401 CC, p. 519). b) En l’espèce, B.J.________ s’occupait depuis plusieurs années, sans pro­cu­ration, de la gestion des affaires administratives et finan­cières de sa mère. En date du 8 mai 2014, il avait des poursuites pour un montant total de 26'715 francs. A.J.________ semble avoir des dettes. Le 21 mars 2014, elle faisait l’objet de deux poursuites totalisant 2'934 francs. De plus, il résulte des propos tenus par la personne concernée et l’assistante sociale du CMS de [...] lors de l’audience du juge de paix du 12 mars 2014 que B.J.________ avait de la peine à gérer son patrimoine et celui de sa mère de manière clairement distincte. Il arrivait en parti­culier à B.J.________ d’utiliser une partie des remboursements de l’assurance mala­die pour ses propres besoins avant de les restituer à sa mère et de signer des ordres de paiements pour elle sans procuration. Tous ces éléments font ainsi douter de la capacité de B.J.________ à veiller en priorité aux intérêts de sa mère, de sorte que celui-ci n’apparaît pas apte à exercer le mandat de curatelle de sa mère et que l’autorité de protection aurait engagé sa responsabilité en le désignant curateur de celle-ci. Dans ces conditions, la cour de céans considère qu’il est dans l’intérêt de la personne concernée que la mesure soit confiée à un tiers, à tout le moins jusqu’à ce que la situation financière de celle-ci et de soin fils aîné soit clarifiée, de sorte que la décision des premiers juges ne prête pas le flanc à la critique et le recours se révèle également mal fondé sur ce point.</w:t>
      </w:r>
    </w:p>
    <w:p>
      <w:r>
        <w:rPr>
          <w:b/>
        </w:rPr>
        <w:t>E. 5</w:t>
      </w:r>
    </w:p>
    <w:p>
      <w:r>
        <w:t>En conclusion, le recours interjeté par B.J.________, C.J.________ et D.J.________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 Du</w:t>
      </w:r>
    </w:p>
    <w:p>
      <w:r>
        <w:rPr>
          <w:b/>
        </w:rPr>
        <w:t>E. 6</w:t>
      </w:r>
    </w:p>
    <w:p>
      <w:r>
        <w:t>mars 2015 Le dispositif de l'arrêt qui précède est communiqué par écrit aux intéressés. La greffière : Du L'arrêt qui précède, dont la rédaction a été approuvée à huis clos, est notifié à : ‑ MM. B.J.________, C.J.________ et D.J.________ (par M. B.J.________), - Mme A.J.________, - M. X.________, et communiqué à : ‑ Justice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