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223 vom 30. März 2015</w:t>
      </w:r>
    </w:p>
    <w:p>
      <w:r>
        <w:t>VD Tribunal cantonal, 2015-03-30, FR</w:t>
      </w:r>
    </w:p>
    <w:p>
      <w:r>
        <w:rPr>
          <w:b/>
        </w:rPr>
        <w:t xml:space="preserve">Quelle: </w:t>
      </w:r>
      <w:r>
        <w:t>https://mcp.opencaselaw.ch/entscheid/vd_findinfo_Arr_t___2015___223</w:t>
      </w:r>
    </w:p>
    <w:p>
      <w:r>
        <w:t>FR: VD_FINDINFO Arrêt / 2015 / 223 du 30 mars 2015</w:t>
      </w:r>
    </w:p>
    <w:p>
      <w:r>
        <w:t>IT: VD_FINDINFO Arrêt / 2015 / 223 del 30 marzo 2015</w:t>
      </w:r>
    </w:p>
    <w:p>
      <w:pPr>
        <w:pStyle w:val="Heading2"/>
      </w:pPr>
      <w:r>
        <w:t>Regeste</w:t>
      </w:r>
    </w:p>
    <w:p>
      <w:r>
        <w:t>DEMANDE ADRESSÉE À L'AUTORITÉ, RÉVISION{DÉCISION} | 61 let. i LPGA, 100 LPA-VD</w:t>
      </w:r>
    </w:p>
    <w:p>
      <w:pPr>
        <w:pStyle w:val="Heading2"/>
      </w:pPr>
      <w:r>
        <w:t>Erwägungen</w:t>
      </w:r>
    </w:p>
    <w:p>
      <w:r>
        <w:rPr>
          <w:b/>
        </w:rPr>
        <w:t>E. 16</w:t>
      </w:r>
    </w:p>
    <w:p>
      <w:r>
        <w:t>décembre 2014 et rejetant le « recours » formé par l’intéressé le 22 octobre 2014. E n  d r o i t  : 1. La procédure porte sur la révision de l’arrêt rendu le 28 janvier 2014 par la Cour des assurances sociales du Tribunal cantonal. En revanche, la procédure liée aux cotisations dues pour les années 2009 à 2012 en lien avec le salarié H.________ est extrinsèque au présent litige. La demande de récusation que P.K.________ a déposée contre la Caisse à l’occasion de cette même procédure de taxation d’office pour les années 2009 à 2012 est elle aussi sens effet sur la présente cause, en tant qu’elle a été introduite dans le cadre d’une autre procédure et devant une autre autorité. 2. a) La procédure devant le tribunal cantonal institué pour connaître du contentieux relatif au droit des assurances sociales, conformément aux art. 56 ss LPGA (loi fédérale sur la partie générale du droit des assurances sociales du 6 octobre 2000 ; R5 830.1),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vaudoise sur la procédure administrative du 28 octobre 2008 ;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c) En l’espèce, la demande de révision introduite le 11 avril 2014 contre l’arrêt du 28 janvier 2014, notifié le 31 janvier 2014, a été déposée dans le délai légal de nonante jours (cf. art. 101 LPA-VD). Elle est ainsi recevable. L’arrêt du 28 janvier 2014 a par ailleurs été rendu par un juge unique (cf. CASSO AVS 42/12 – 4/2014 consid. 2b), de sorte que la présente demande de révision ressortit également à la compétence du juge unique (cf. art. 102 LPA-VD). Il faut en outre souligner que la demande de révision ne suspend pas l’exécution de l’arrêt du 28 janvier 2014 (cf. art. 103 al. 1 LPA-VD). Au demeurant, le requérant ne fait valoir aucune circonstance particulière justifiant l’octroi de l’effet suspensif ou démontrant l’urgence ou la menace d’un dommage difficile à réparer. Pour le reste, il ne saurait être question pour la Cour de céans de se prononcer sur l’effet suspensif visant « toutes les décisions précédentes de la Caisse ou de [la] Cour » (cf. demande de révision du 11 avril 2014 p. 3), la présente procédure étant circonscrite à l’examen de la demande de révision du 11 avril 2014 portant sur le jugement du 28 janvier 2014. 3. a)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 (cf. TF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 cf. TF 8C_824/2014 du 29 décembre 2014 consid. 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annotée, Bâle 2012, n°4 ad art. 100 LPA-VD p. 454). c)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n°2 ad art. 105 LPA-VD p. 460). 4. A l’appui de sa demande de révision du 11 avril 2014, le requérant soutient essentiellement que l’arrêt cantonal du 28 janvier 2014 repose sur une mauvaise interprétation du droit ainsi que sur un état de fait inexact. a) Tout d’abord, le requérant fait valoir, comme lors de la précédente procédure de révision, que sa situation ne tombe pas sous le coup des art. 957 ss CO (loi fédérale du 30 mars 1911 complétant le Code civil suisse ; RS 220) et que, nonobstant sa qualité d’administrateur, il ne lui incombait pas de conserver la comptabilité de la société F.________ SA. Cette problématique, déjà développée dans l’arrêt sur recours du</w:t>
      </w:r>
    </w:p>
    <w:p>
      <w:r>
        <w:rPr>
          <w:b/>
        </w:rPr>
        <w:t>E. 21</w:t>
      </w:r>
    </w:p>
    <w:p>
      <w:r>
        <w:t>mars 2012 (cf. CASSO AVS 36/11 – 13/2012 consid. 4) puis à nouveau abordée dans l’arrêt sur révision du 28 janvier 2014 (cf. CASSO 42/12 – 4/2014 consid. 4a et 6a), ne saurait être assimilée à un élément nouveau au sens entendu par la législation topique (cf. consid. 3a supra). Il apparaît en réalité que le requérant cherche à remettre en cause la réponse que l’arrêt sur recours a donné à une question de droit, ce qui ne constitue pas un motif susceptible de donner lieu à révision (cf. TF 6F_10/2008 du 2 septembre 2008 consid. 2.1). En effet, la voie de la révision ne permet pas de rediscuter l'appréciation juridique contenue dans l'arrêt dont la révision est demandée lorsque celle-là ne répond pas aux attentes du requérant (cf. TF 1F_10/2012 du 13 juin 2012 consid. 3 et la référence citée). b) Le requérant avance par ailleurs diverses explications quant aux deux employés de la société F.________ SA durant la période visée par le présent litige (soit 2007 et 2008). Ses assertions – y compris celles relatives à l’absence de signature de l’employeur au bas de la convention concernant J.________ – sont toutefois essentiellement superposables à celles qu’il avait déjà évoquées lors de la précédente procédure de révision (cf. en particulier écriture du 12 novembre 2012 p. 1). Or, dans l’arrêt rendu par la Cour de céans à l’issue de cette procédure, il a été souligné qu’en faisant preuve de la diligence requise, le requérant aurait raisonnablement pu apporter de telles précisions déjà au stade de la procédure administrative ou encore lors de la procédure ordinaire de recours (cf. CASSO 42/12 – 4/2014 consid. 6d). Le même constat s’impose à plus forte raison dans le présent contexte. Partant, sous cet aspect également, le présent tribunal ne distingue aucun élément nouveau susceptible de justifier la révision de son arrêt du 28 janvier 2014. Pour le surplus, le requérant invoque notamment que des décisions prises à l’encontre de la société F.________ SA ne lui auraient pas été notifiées ou que ses demandes de renseignements adressées à la fiduciaire de cette société ainsi qu’à l’office des impôts seraient restées vaines. Ce faisant, il se contente de rappeler divers éléments de fait ayant déjà été pris en considération dans le cadre des procédures judiciaires antérieures (cf. CASSO AVS 42/12 – 4/2014 let. A, B et C ; cf. CASSO AVS 36/11 – 13/2012 let. A et B). L’instance cantonale en a simplement tiré d’autres conclusions que celles souhaitées par le requérant (cf. CASSO AVS 42/12 – 4/2014 consid. 4c et 6c ; cf. CASSO 36/11 – 13/2012 consid. 4). Sous cet angle, il n’y a donc pas non plus matière à révision de l’arrêt du 28 janvier 2014. c) Le requérant fait en outre valoir une violation de diverses garanties constitutionnelles (à savoir les art. 8, 9, 29 et 30 Cst.). En revanche, il n’explique pas en quoi la violation alléguée de ces principes serait pertinente dans le cadre de la présente procédure de révision, voie de droit extraordinaire ne visant que des situations bien précises déterminées par la loi, à savoir les cas dans lesquels des faits ou des moyens de preuve nouveaux ont été découverts ou ceux dans lesquels le jugement a été influencé par un crime ou un délit (cf. art. 61 let. i LPGA et art. 100 al. 1 LPA-VD ; cf. consid. 3 supra). Par son argumentaire, le requérant montre en définitive qu’il confond la présente procédure extraordinaire de révision avec une voie de recours ordinaire. Aussi ses griefs sont-ils mal fondés sur ce plan également. d) A la lumière de ce qui précède, force est de constater que les conditions d’une révision de l’arrêt cantonal du 28 janvier 2014 ne sont pas réunies. Pour le surplus, au vu de la nature des griefs soulevés par le requérant, il apparaît encore judicieux d’attirer son attention sur le fait que la révision ne peut être demandée que pour des motifs strictement définis par la loi (cf. consid. 2 et 3 supra) et que le dépôt d’une demande de révision ne permet dès lors pas de remettre en cause librement l’arrêt dont la révision est demandée (cf. TF 6F_10/2008 précité consid. 2). 5. Attendu que le requérant a eu la possibilité de s'exprimer à de multiples reprises et que le dossier est complet, permettant ainsi à la juridiction de céans de statuer en pleine connaissance de cause, une audience n'apparaît pas utile. La requête formuée en ce sens par le requérant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6. a) En définitive, la demande de révision introduite le 11 avril 2014 contre l’arrêt du 28 janvier 2014 ne peut qu’être rejetée. b) Il n’y a pas lieu de percevoir des frais de justice, la procédure de révision étant gratuite (cf. art. 61 let. a LPGA), ni d’allouer des dépens, le requérant n'obtenant pas gain de cause. Par ces motifs, la juge unique prononce : I. La demande de révision est rejetée. II. Il n’est pas perçu de frais judiciaires. III. Il n’est pas alloué de dépens. La juge unique :               La greffière : Du L'arrêt qui précède est notifié à : ‑ P.K.________,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