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2015 / 1048 vom 3. Dezember 2015</w:t>
      </w:r>
    </w:p>
    <w:p>
      <w:r>
        <w:t>VD Tribunal cantonal, 2015-12-03, FR</w:t>
      </w:r>
    </w:p>
    <w:p>
      <w:r>
        <w:rPr>
          <w:b/>
        </w:rPr>
        <w:t xml:space="preserve">Quelle: </w:t>
      </w:r>
      <w:r>
        <w:t>https://mcp.opencaselaw.ch/entscheid/vd_findinfo_Arr_t___2015___1048</w:t>
      </w:r>
    </w:p>
    <w:p>
      <w:r>
        <w:t>FR: VD_FINDINFO Arrêt / 2015 / 1048 du 3 décembre 2015</w:t>
      </w:r>
    </w:p>
    <w:p>
      <w:r>
        <w:t>IT: VD_FINDINFO Arrêt / 2015 / 1048 del 3 dicembre 2015</w:t>
      </w:r>
    </w:p>
    <w:p>
      <w:pPr>
        <w:pStyle w:val="Heading2"/>
      </w:pPr>
      <w:r>
        <w:t>Regeste</w:t>
      </w:r>
    </w:p>
    <w:p>
      <w:r>
        <w:t>RENTE D'INVALIDITÉ, RÉVISION{PRESTATION D'ASSURANCE}, DEMI-RENTE | 28 al. 1 LAI, 4 al. 1 LAI, 17 al. 1 LPGA, 8 al. 1 LPGA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décembre 2015 __________________ Composition :               Mme Thalmann , présidente M. Métral et Mme Di Ferro Demierre, juges Greffière: Mme              Monney ***** Cause pendante entre : H.________ , à [...], recourant, représenté par Me Florence Bourqui, avocate à Lausanne, et Office de l’assurance-invalidité pour le canton de Vaud , à Vevey, intimé. _______________ Art.</w:t>
      </w:r>
    </w:p>
    <w:p>
      <w:r>
        <w:rPr>
          <w:b/>
        </w:rPr>
        <w:t>E. 8</w:t>
      </w:r>
    </w:p>
    <w:p>
      <w:r>
        <w:t>Le recours doit dès lors être admis et la décision rendue le 17 janvier 2014 par l'OAI réformée en ce sens.</w:t>
      </w:r>
    </w:p>
    <w:p>
      <w:r>
        <w:rPr>
          <w:b/>
        </w:rPr>
        <w:t>E. 9</w:t>
      </w:r>
    </w:p>
    <w:p>
      <w:r>
        <w:t>Les frais d'arrêt, arrêtés à 400 fr., sont mis à la charge de l'OAI. Obtenant gain de cause, le recourant a droit à des dépens, qu'il convient d'arrêter à 2'500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