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2015 / 1032 vom 22. Februar 2016</w:t>
      </w:r>
    </w:p>
    <w:p>
      <w:r>
        <w:t>VD Tribunal cantonal, 2016-02-22, FR</w:t>
      </w:r>
    </w:p>
    <w:p>
      <w:r>
        <w:rPr>
          <w:b/>
        </w:rPr>
        <w:t xml:space="preserve">Quelle: </w:t>
      </w:r>
      <w:r>
        <w:t>https://mcp.opencaselaw.ch/entscheid/vd_findinfo_Arr_t___2015___1032</w:t>
      </w:r>
    </w:p>
    <w:p>
      <w:r>
        <w:t>FR: VD_FINDINFO Arrêt / 2015 / 1032 du 22 février 2016</w:t>
      </w:r>
    </w:p>
    <w:p>
      <w:r>
        <w:t>IT: VD_FINDINFO Arrêt / 2015 / 1032 del 22 febbraio 2016</w:t>
      </w:r>
    </w:p>
    <w:p>
      <w:pPr>
        <w:pStyle w:val="Heading2"/>
      </w:pPr>
      <w:r>
        <w:t>Regeste</w:t>
      </w:r>
    </w:p>
    <w:p>
      <w:r>
        <w:t>COLLABORATION PROFESSIONNELLE DU CONJOINT, EMPLOYEUR, POSITION ANALOGUE | 31 al. 3 let. b LACI, 31 al. 3 let. c LACI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recours, mal fondé, doit être rejeté et la décision attaquée confirmée. b) Il n'y a pas lieu de percevoir de frais judiciaires, la procédure étant gratuite (cf. art. 61 let. a LPGA), ni d'allouer de dépens, dès lors que la recourante n'obtient pas gain de cause (cf. art. 55 al. 1 LPA-VD ; cf.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