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97 vom 29. Januar 2014</w:t>
      </w:r>
    </w:p>
    <w:p>
      <w:r>
        <w:t>VD Tribunal cantonal, 2014-01-29, FR</w:t>
      </w:r>
    </w:p>
    <w:p>
      <w:r>
        <w:rPr>
          <w:b/>
        </w:rPr>
        <w:t xml:space="preserve">Quelle: </w:t>
      </w:r>
      <w:r>
        <w:t>https://mcp.opencaselaw.ch/entscheid/vd_findinfo_Arr_t___2014___97</w:t>
      </w:r>
    </w:p>
    <w:p>
      <w:r>
        <w:t>FR: VD_FINDINFO Arrêt / 2014 / 97 du 29 janvier 2014</w:t>
      </w:r>
    </w:p>
    <w:p>
      <w:r>
        <w:t>IT: VD_FINDINFO Arrêt / 2014 / 97 del 29 gennaio 2014</w:t>
      </w:r>
    </w:p>
    <w:p>
      <w:pPr>
        <w:pStyle w:val="Heading2"/>
      </w:pPr>
      <w:r>
        <w:t>Regeste</w:t>
      </w:r>
    </w:p>
    <w:p>
      <w:r>
        <w:t>ACCIDENT, LÉSION CORPORELLE ASSIMILÉE À UN ACCIDENT | 6 al. 1 LAA, 6 al. 2 LAA, 9 al. 2 OLAA</w:t>
      </w:r>
    </w:p>
    <w:p>
      <w:pPr>
        <w:pStyle w:val="Heading2"/>
      </w:pPr>
      <w:r>
        <w:t>Erwägungen</w:t>
      </w:r>
    </w:p>
    <w:p>
      <w:r>
        <w:rPr>
          <w:b/>
        </w:rPr>
        <w:t>E. 4</w:t>
      </w:r>
    </w:p>
    <w:p>
      <w:r>
        <w:t>Par surabondance, le recourant reproche également à l'intimée de n'avoir pas considéré que l'atteinte survenue le 8 juillet 2011 était une lésion corporelle assimilée à un accident au sens de l'art. 9 al. 2 OLAA. a) L'art. 6 al. 2 LAA permet au Conseil fédéral d'inclure dans l'assurance-accidents des lésions corporelles qui sont semblables aux conséquences d'un accident. Il a été fait usage de cette possibilité à l'art. 9 al. 2 OLAA,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La jurisprudence (cf.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douteurs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cf. ATF 129 V 466 consid. 4.2.2.). Cette réglementation a pour but d'éviter, au profit de l'assuré, la distinction souvent difficile entre maladie et accident. L'assureur-accidents doit ainsi assumer un risque qui, en raison de la distinction précitée, devrait souvent être couvert par l'assurànce-maladie.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129 V 466). Il faut qu'un facteur extérieur soit une cause possible de la lésion, au moins à titre partiel, pour qu'une lésion assimilée à un accident soit admise (TF 8C_698/2007 du 27 octobre 2008 consid. 4.2 et les références citées). Ainsi,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(cf. ATF 129 V 466 consid. 3; cf. TF U 162/06 du 10 avril 2007 consid. 5.2.1 et 5.3). b) Parmi les atteintes musculaires, l'art. 9 al. 2 OLAA assimile à un accident uniquement les élongations musculaires et les déchirures musculaires (cf. art. 9 al. 2 let. d et e OLAA). Selon la jurisprudence, la liste de l'art. 9 al. 2 OLAA est formulée de manière précise et différenciée pour éviter les problèmes de délimitation (cf. ATF 116 V 145 consid. 5c). D'un point de vue médical, on classifie communément les atteintes musculaires intrinsèques (provoquées par l'effort) selon qu'elles impliquent une lésion musculaire. D'un côté, les atteintes qui n'impliquent pas une lésion des fibres musculaires sont appelées crampes ou contractures. De l'autre côté, il y a les atteintes qui impliquent une lésion des fibres musculaires; parmi ces atteintes on distingue encore en fonction de l'intensité de la lésion : lésion de grade 1 appelée élongation qui implique une lésion limitée à quelques fibres musculaires, entraînant une incapacité fonctionnelle légère à modérée; lésion de grade 2 appelée déchirure ou claquage qui implique une déchirure partielle du muscle, entraînant une incapacité fonctionnelle immédiate et habituellement totale; lésion de grade 3 appelée rupture (cf. Prof. Pierre Frémont et Dr Claude Côté, Les blessures musculaires – prévention, traitement et réadaptation in : Revue Le Clinicien, octobre 2001, pp. 143 et 145 s.). Dans cette classification, les contractures sont distinctes des élongations et déchirures musculaires mentionnées à l'art. 9 al. 2 let. d et e OLAA. On distingue toutefois aussi communément les contractures selon qu'elles sont primitives ou secondaires. Une contracture est en effet définie comme une contraction musculaire involontaire d'un certain nombre de fibres musculaires au sein d'un même muscle ou d'un groupe musculaire, d'une durée plus ou moins longue. La contracture est primitive lorsqu'elle est indépendante de toute lésion musculaire : la contraction est la conséquence d'une utilisation excessive du muscle. La contracture est en revanche qualifiée de secondaire, lorsque la contraction musculaire involontaire est la conséquence d'une lésion musculaire au sens proprement dit, donc d'une élongation ou d'une déchirure musculaire, ou d'une lésion articulaire : la contraction musculaire est alors un mécanisme de défense pour protéger le muscle lésé ou l'articulation atteinte. Dans tous les cas, il découle de l'absence de mention des contractures à l'art. 9 al. 2 OLAA que celles-ci ne peuvent pas, en tant que telles, être assimilées à des accidents (cf. CASSO AA 54/12 – 34/2013 du 6 mai 2013 consid. 2b). Selon la jurisprudence, l'art. 9 OLAA interdit d'assimiler à des accidents des atteintes physiques qui sont supposées et non prouvées (cf. TFA U 351/99 du 8 septembre 2000 consid. 2b, U 98/01 du 28 juin 2002 consid. 2 et U 322/02 du 7 octobre 2003 consid. 5.4). Dans un arrêt relatif à des lésions ligamentaires, le Tribunal fédéral des assurances avait considéré que, du fait que les lésions partielles des ligaments ne peuvent en principe pas être distinguées cliniquement des réactions secondaires inflammatoires (tendinites, etc.), une qualification comme lésion assimilée à un accident n'entre en ligne de compte que si la rupture partielle est constatée comme telle au niveau médical de manière évidente (« medizinisch eindeutig festgestellt ist »), que ce soit de manière intraopérative ou par une représentation avec un produit de contraste; l'assuré prétendant à une prestation supporte les conséquences de l'absence d'une telle preuve (cf. ATF 114 V 298 consid. 5c). Il n'en va pas différemment pour la distinction entre les contractures primaires et les lésions musculaires de grade 1 (les élongations musculaires) ou 2 (les déchirures musculaires). c) En l'espèce, la Dresse A.________ a diagnostiqué dans son rapport médical du 12 août 2011 une probable lésion musculaire (muscles scalènes ou oblique supérieur de la tête) à droite. En procédure de recours, dans ses réponses aux questions des parties, la Dresse A.________ a déclaré qu'il s'agissait d'une déchirure musculaire et expliqué qu'elle avait qualifié la lésion musculaire de probable parce qu'elle n'avait pas demandé d'examen supplémentaire tel que l'échographie. Elle a motivé la renonciation à un tel examen parce qu'il « n'y avait presque pas de doute qu'il s'agissait d'une lésion musculaire ». Elle a toutefois confirmé la position de l'assurance intimée selon laquelle le diagnostic de lésion musculaire ne pouvait en l'état être retenu au degré de la vraisemblance prépondérante, l'atteinte pouvant aussi être qualifiée de cervico-brachialgie après effort ou de contracture musculaire. On peut en déduire qu'il n'y avait, de l'avis de la Dresse A.________, presque pas de doute que l'atteinte était une lésion musculaire, mais assez pour considérer que ce diagnostic n'était pas prouvé avec une vraisemblance prépondérante. Il s'y ajoute qu'en l'absence de mise en évidence d'une lésion musculaire par une opération ou par imagerie, la seule affirmation de la Dresse A.________ de la quasi absence de doutes quant à l'existence d'une lésion musculaire sur la base d'un examen clinique ne suffit pas pour constituer la preuve d'une déchirure musculaire. C'est pourquoi l'atteinte à la santé du recourant ne peut pas être assimilée à un accident en vertu de l'art. 9 al. 2 let. d OLAA au titre d'une déchirure musculaire. Elle ne saurait non plus pour les mêmes raisons être assimilée à un accident au titre d'une élongation musculaire (cf. art. 9 al. 2 let. e OLAA).</w:t>
      </w:r>
    </w:p>
    <w:p>
      <w:r>
        <w:rPr>
          <w:b/>
        </w:rPr>
        <w:t>E. 5</w:t>
      </w:r>
    </w:p>
    <w:p>
      <w:r>
        <w:t>Le dossier étant complet, permettant ainsi à la Cour de céans de statuer en pleine connaissance de cause, il n'y a pas lieu de donner suite à la mesure d'instruction complémentaire requise par le recourant (à savoir l'audition de C.________). En effet, une telle mesure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Au surplus, on relèvera que la demande tendant à l'audition de témoins constitue une requête de preuve qui ne suffit pas à fonder l'obligation d'organiser des débats publics (cf. TF 8C_973/2010 du 21 avril 2010 consid. 2.1).</w:t>
      </w:r>
    </w:p>
    <w:p>
      <w:r>
        <w:rPr>
          <w:b/>
        </w:rPr>
        <w:t>E. 6</w:t>
      </w:r>
    </w:p>
    <w:p>
      <w:r>
        <w:t>a) Vu ce qui précède, l'événement du 8 juillet 2011 n'est pas constitutif d'un accident et l'atteinte subie par le recourant ne peut pas être qualifiée de lésion corporelle assimilée à un accident. Le recours doit donc être rejeté et la décision attaquée confirmée. b) Conformément à l'art. 61 let. a LPGA, la procédure de recours en matière de contestations portant sur l'octroi ou le refus de prestations en matière d'assurance- accidents devant le tribunal cantonal des assurances est gratuite. Le recourant, qui n'obtient pas gain de cause, n'a pas droit à des dépens (cf.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