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929 vom 11. Dezember 2014</w:t>
      </w:r>
    </w:p>
    <w:p>
      <w:r>
        <w:t>VD Tribunal cantonal, 2014-12-11, FR</w:t>
      </w:r>
    </w:p>
    <w:p>
      <w:r>
        <w:rPr>
          <w:b/>
        </w:rPr>
        <w:t xml:space="preserve">Quelle: </w:t>
      </w:r>
      <w:r>
        <w:t>https://mcp.opencaselaw.ch/entscheid/vd_findinfo_Arr_t___2014___929</w:t>
      </w:r>
    </w:p>
    <w:p>
      <w:r>
        <w:t>FR: VD_FINDINFO Arrêt / 2014 / 929 du 11 décembre 2014</w:t>
      </w:r>
    </w:p>
    <w:p>
      <w:r>
        <w:t>IT: VD_FINDINFO Arrêt / 2014 / 929 del 11 dicembre 2014</w:t>
      </w:r>
    </w:p>
    <w:p>
      <w:pPr>
        <w:pStyle w:val="Heading2"/>
      </w:pPr>
      <w:r>
        <w:t>Regeste</w:t>
      </w:r>
    </w:p>
    <w:p>
      <w:r>
        <w:t>CURATELLE DE GESTION, CURATELLE DE REPRÉSENTATION | 400 CC, 450 CC</w:t>
      </w:r>
    </w:p>
    <w:p>
      <w:pPr>
        <w:pStyle w:val="Heading2"/>
      </w:pPr>
      <w:r>
        <w:t>Erwägungen</w:t>
      </w:r>
    </w:p>
    <w:p>
      <w:r>
        <w:rPr>
          <w:b/>
        </w:rPr>
        <w:t>E. 1</w:t>
      </w:r>
    </w:p>
    <w:p>
      <w:r>
        <w:t>Le recours est dirigé contre une décision de la justice de paix confirmant J.________ dans son mandat de curateur de [...], mais en relation avec une curatelle de gestion et de représentation au sens des art. 394 al. 1 et 395 al. 1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 ème éd.,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â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w:t>
      </w:r>
    </w:p>
    <w:p>
      <w:r>
        <w:rPr>
          <w:b/>
        </w:rPr>
        <w:t>E. 1.2</w:t>
      </w:r>
    </w:p>
    <w:p>
      <w:r>
        <w:t>En l’espèce, le recours, motivé et interjeté en temps utile par le curateur désigné, est recevable.</w:t>
      </w:r>
    </w:p>
    <w:p>
      <w:r>
        <w:rPr>
          <w:b/>
        </w:rPr>
        <w:t>E. 2.1</w:t>
      </w:r>
    </w:p>
    <w:p>
      <w:r>
        <w:t>Le curateur soutient qu’il ne dispose pas du temps nécessaire à l’élargissement de ses tâches concernant la personne concernée. Il explique pouvoir assumer la gestion financière de la personne concernée uniquement. En d’autres termes, s’il est en mesure de continuer à assumer la curatelle de gestion, ajouter la curatelle de représentation serait une charge trop lourde.</w:t>
      </w:r>
    </w:p>
    <w:p>
      <w:r>
        <w:rPr>
          <w:b/>
        </w:rPr>
        <w:t>E. 2.2</w:t>
      </w:r>
    </w:p>
    <w:p>
      <w:r>
        <w:t>La décision attaquée est une décision de transformation d’une mesure de l’ancien droit en une mesure conforme au nouveau droit rendue dans le délai d’adaptation de trois ans, selon l’art. 14 al. 2 et 3 Tit. fin. CC. a) A teneur de l’art. 394 aCC, tout majeur peut être pourvu d’un curateur s’il en fait la demande et s’il se trouve dans un cas d’interdiction volontaire, c’est-à-dire s’il est empêché de gérer convenablement ses affaires par suite de faiblesse sénile, de quelque infirmité ou de son inexpérience (art. 372 aCC) ; Deschenaux/Steinauer, Personnes physiques et tutelles, 4 ème éd., 2001, n° 1115 p. 418). La curatelle volontaire ne peut être limitée à des affaires déterminées et à la gestion de certains biens clairement définis ; il s’agit d’une mesure d’assistance tutélaire générale, permettant d’assurer la gestion durable des biens de la personne protégée et une certaine assistance personnelle (Deschenaux/Steinauer, op. cit. n° 1115 p. 419 ; Langenegger, Basler Kommentar, 2 ème éd., 2002, n. 4 ad art. 394 CC, p. 1921 ; CTUT 3 nov. 2003/203). Une mesure de curatelle volontaire selon l’art. 394 aCC ne doit pas nécessairement être transformée en une curatelle d’accompagnement au sens de l’art. 393 CC (TF 5A_667/2013 du 12 novembre 2013 c. 5.2). Il faut en effet examiner dans chaque cas, notamment en tenant compte des nouvelles possibilités d’aménagement, si la mesure est encore adaptée ou si elle devrait être levée ou modifiée (Geiser, CommFam, Protection de l’adulte, Berne 2013, n. 12 ad art. 14/14a Tit. fin. CC, p. 1147 ; Reusser, Basler Kommentar, op. cit., nn. 18 et 19 ad art. 14 Tit. fin. CC, pp. 748 ss). Il n’en demeure pas moins que, sans circonstances particulières, la mesure de curatelle volontaire selon l’art. 394 aCC pourra souvent être transformée en une curatelle d’accompagnement au sens de l’art. 393 CC (Geiser, loc. cit. ; Reusser, loc. cit.). Selon l’art. 393 al. 1 CC, une curatelle d’accompagnement est instituée, avec le consentement de la personne qui a besoin d’aide, lorsque celle-ci doit être assistée pour accomplir certains actes. Inspirée de la curatelle volontaire de l’ancien droit (art. 394 aCC ; Message, Feuille fédérale [FF] 2006 p. 6678), elle ne peut être instituée que si les conditions matérielles de l’art. 390 CC sont réalisées et que la personne concernée a consenti à la mesure (Meier, CommFam, op. cit., nn. 6 et 7 ad art. 393 CC, p. 424). Une curatelle d’accompagnement peut être prononcée conjointement à une curatelle de représentation ou de coopération (art. 397 CC), mais une telle combinaison ne sera en aucun cas possible si l’intéressé ne donne pas son consentement (Meier, CommFam, op. cit., n. 14 ad art. 393 CC, p. 427 ; Meier/Lukic, Introduction au nouveau droit de la protection de l’adulte, Zurich 2011, nn. 449 et 451, p. 211).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Meier/Lukic, op. cit., n. 463, p. 216).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CommFam, op. cit., n. 3 ad art. 395 CC, p. 450 ; Meier/Lukic, op. cit., n. 460, p. 215).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aI. 1 in fine CC). La curatelle de gestion a pour objectif la protection du patrimoine. Sa mise en oeuvre peut avoir des effets indirects sur l’assistance personnelle. Cependant, les tâches d’assistance personnelle comme telles doivent faire l’objet d’une curatelle d’accompagnement (art. 393 CC) ou de représentation stricto sensu (art. 394 CC ; Meier, CommFam, op. cit., n. 13 ad art. 395 CC, p. 453).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elle-même certaines affaires et doit donc être représentée. Il n’y a pas lieu d’ordonner une curatelle de représentation et/ou de gestion si la curatelle d’accompagnement suffit aux besoins de la personne concernée (TF 5A_667/2013 du 12 novembre 2013 c. 6.1. et 6.2). b) Aux termes de l’art. 400 CC, l’autorité de protection de l’adulte nomme curateur une personne physique qui possède les aptitudes et les connaissances nécessaires â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 FF 2006, p. 6683] ; Helle, Le nouveau droit de la protection de l’adulte, 2012, p. 176). Il s’agit d’une notion de droit fédéral et l’art. 400 al. 2 CC devra être interprété uniformément sous le contrôle ultime du Tribunal fédéral, sans que les cantons disposent d’une marge de manoeuvre (Flückiger, L’obligation d’être tuteur : un principe de subsidiarité à l’épreuve de l’article</w:t>
      </w:r>
    </w:p>
    <w:p>
      <w:r>
        <w:rPr>
          <w:b/>
        </w:rPr>
        <w:t>E. 2.3</w:t>
      </w:r>
    </w:p>
    <w:p>
      <w:r>
        <w:t>En l’espèce, le recourant a été désigné comme curateur par décision du 14 juin 2011. Il s’est depuis lors occupé de sa tâche avec satisfaction et ses rapports démontrent ses compétences de gestion. S’agissant de l’aspect concernant la curatelle de gestion, il y a lieu de constater que le recourant effectue son mandat de manière adéquate. Il précise d’ailleurs dans son recours qu’il est prêt à continuer à assumer cette partie de la curatelle. Ce point n’est donc pas contesté. En revanche, le recourant s’oppose à assumer l’élargissement de la curatelle en ce sens qu’il craint une augmentation de ses tâches en lien avec la curatelle de représentation, puisque la justice de paix a demandé au curateur, dans ce cadre, de représenter [...] dans les rapports avec les tiers, en particulier en matière de logement, santé, affaires sociales, administration et affaires juridiques, et de sauvegarder au mieux ses intérêts (ch. IV du dispositif). A l’examen du dossier, il apparaît qu’une partie de ces tâches, à tout le moins, a déjà été exécutée par le curateur dans le cadre de l’assistance personnelle à la personne concernée qui lui incombait sous l’ancien régime. En effet, le recourant par exemple a eu des contacts avec un voisin qui s’occupe de la personne concernée quasiment au quotidien, a examiné dans quelle mesure de l’argent de poche pouvait être remis à ce dernier à l’usage de celle-ci, a fait la démarche auprès de la justice de paix. Globalement, la différence de charge entre les deux types de mandat devrait être minime, d’autant plus que la personne concernée n’a pas été privée de l’exercice de ses droits civils au sens de l’art. 394 al. 2 CC et que la curatelle volontaire de l’ancien droit offrait à celle-ci une aide globale. En d’autres termes, la personne concernée peut toujours effectuer et s’engager par les actes de la vie courante, ce qui n’impose pas au curateur un suivi de tous les instants (Meier, CommFam, nn. 20 et 24 ad art. 394 CC). Certes, il est incontestable que le curateur ne dispose que de peu de temps pour lui et que la curatelle en question lui demande un gros effort, en sus de son travail et de la préservation de sa vie de famille. Il apparaît toutefois que, si la curatelle sous sa forme quelque peu élargie devait s’avérer trop lourde à l’usage, il pourra saisir l’autorité intimée, qui réexaminera dans quelle mesure il est encore à même d’assumer cette charge. Il en ira de même si la situation personnelle de la personne concernée devait s’aggraver et nécessiter une attention et des démarches plus soutenues. 3. En conclusion, le recours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IV. L'arrêt motivé est exécutoire. La présidente :              Le greffier : Du 11 décembre 2014 Le dispositif de l'arrêt qui précède est communiqué par écrit aux intéressés. Le greffier : Du L'arrêt qui précède, dont la rédaction a été approuvée à huis clos, est notifié à : ‑ M. J.________, ‑ Mme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CEDH, in Revue de la protection des mineurs et des adultes [RMA] 2011, pp. 263 ss, spéc. p. 268). Selon le Message du Conseil fédéral, de « lourdes charges professionnelles ou familiales existantes ou imminentes ou encore l’exercice de fonctions publiques » peuvent notamment constituer de justes motifs au sens de l’art. 400 al. 2 CC (Message,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Basler Kommentar, Erwachsenenschutz, 2012, n. 48 ad art. 400 CC, p. 294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288),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Lorsque l’intéressé formule des objections à sa nomination, l’autorité de protection doit examiner si celles-ci sont objectivement plausibles (ATF 140 III 1 c. 4.3.2 ; TF 5A_599/2013 du 29 novembre 2013 ; 5A_691/2013 du 14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