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906 vom 31. Oktober 2014</w:t>
      </w:r>
    </w:p>
    <w:p>
      <w:r>
        <w:t>VD Tribunal cantonal, 2014-10-31, FR</w:t>
      </w:r>
    </w:p>
    <w:p>
      <w:r>
        <w:rPr>
          <w:b/>
        </w:rPr>
        <w:t xml:space="preserve">Quelle: </w:t>
      </w:r>
      <w:r>
        <w:t>https://mcp.opencaselaw.ch/entscheid/vd_findinfo_Arr_t___2014___906</w:t>
      </w:r>
    </w:p>
    <w:p>
      <w:r>
        <w:t>FR: VD_FINDINFO Arrêt / 2014 / 906 du 31 octobre 2014</w:t>
      </w:r>
    </w:p>
    <w:p>
      <w:r>
        <w:t>IT: VD_FINDINFO Arrêt / 2014 / 906 del 31 ottobre 2014</w:t>
      </w:r>
    </w:p>
    <w:p>
      <w:pPr>
        <w:pStyle w:val="Heading2"/>
      </w:pPr>
      <w:r>
        <w:t>Regeste</w:t>
      </w:r>
    </w:p>
    <w:p>
      <w:r>
        <w:t>DROITS STRICTEMENT PERSONNELS, ACQUISITION DE LA NATIONALITÉ, RELATIONS PERSONNELLES | 19c CC, 273 CC</w:t>
      </w:r>
    </w:p>
    <w:p>
      <w:pPr>
        <w:pStyle w:val="Heading2"/>
      </w:pPr>
      <w:r>
        <w:t>Erwägungen</w:t>
      </w:r>
    </w:p>
    <w:p>
      <w:r>
        <w:rPr>
          <w:b/>
        </w:rPr>
        <w:t>E. 1</w:t>
      </w:r>
    </w:p>
    <w:p>
      <w:r>
        <w:t>a) Le recours est dirigé contre une décision de la justice de paix accordant au père un droit de visite sur sa fille mineure en application des art. 273 ss CC (Code civil du 10 décembre 1907, RS 210). b)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S'agissant du délai de recours, celui-ci ne court pas pendant certaines périodes de l'année, soit notamment du 15 juillet au 15 août (art. 145 al. 1 CPC [Code de procédure civile du 19 décembre 2008, RS 272]). Cette suspension ne trouve pas application en procédure sommaire (art. 145 al. 2 CPC), ce pour autant que les parties aient été rendues attentives aux exceptions de suspension des délais (art. 145 al. 3 CPC). Si tel n’a pas été le cas, il faut considérer que le délai de recours a été suspendu pendant les féries (ATF 139 III 78 c. 5). c) En l'espèce, la décision du 30 juin 2014 ne contient aucune indication relative à la non-suspension des délais. Ainsi, notifiée le 12 août 2014, soit pendant les féries, le délai n'a commencé à courir que le 16 août 2014 conformément à l'art. 146 al. 1 CPC. Le recours de A.M.________, remis à la poste le 10 septembre 2014 a ainsi été déposé en temps utile. Interjeté par la mère de la mineure concernée, partie à la procédure, et dûment motivé, le recours est recevable. En revanche, le recours étant manifestement mal fondé au vu des considérations qui seront développées ci-après, il a été renoncé à consulter l'autorité de protection (art. 450d al. 1 CC; Reusser, Basler Kommentar, op. cit., nn. 6 ss ad art. 450d CC, pp. 657 s.).</w:t>
      </w:r>
    </w:p>
    <w:p>
      <w:r>
        <w:rPr>
          <w:b/>
        </w:rPr>
        <w:t>E. 2</w:t>
      </w:r>
    </w:p>
    <w:p>
      <w:r>
        <w:t>a) La recourante conteste tout d'abord le fait qu'elle doive concourir à l'acquisition de la nationalité italienne de sa fille et à l'établissement des documents d'identité italiens au nom de cette dernière. Tout en admettant ne pas s'être renseignée sur ce point, elle soutient qu’une telle nationalité pourrait engendrer des contraintes pour l'enfant et qu’elle ne peut accepter sans autre que sa fille se retrouve dans une telle situation. Elle ajoute que la nationalité italienne ne serait d'aucune utilité à sa fille car celle-ci est déjà membre de l’Union européenne, par elle-même, et n’a que des relations éloignées avec le pays de son père, le choix d’acquérir une seconde nationalité relevant de surcroît d’un droit personnel et sa fille ayant de toute façon la possibilité selon elle, à sa majorité, de décider elle-même si elle entend acquérir cette nationalité. b) Les père et mère déterminent les soins à donner à l'enfant, dirigent son éducation en vue de son bien et prennent les décisions nécessaires, sous réserve de sa propre capacité (art. 301 al. 1 CC). Ils sont également tenus d'élever l'enfant selon leurs facultés et leurs moyens et ils ont le devoir de favoriser et de protéger son développement corporel, intellectuel et moral (art. 302 al. 1 CC). Les personnes incapables de discernement sont représentées par leur représentant légal, sauf pour les droits qui ne souffrent aucune représentation en raison de leur lien étroit avec la personnalité (art. 19c al. 1 CC). La jurisprudence et la doctrine distinguent également les droits strictement personnels absolus des droits strictement personnels relatifs. Les premiers, appelés aussi droits strictement personnels improprement dits ou au premier degré, échappent au pouvoir de représentation du représentant légal. Leur exercice, au nom du mineur incapable de discernement, est exclu. Qualifier un droit strictement personnel d'absolu revient à priver l'incapable de discernement de la jouissance de ce droit alors qu'en principe et dans les limites de la loi, chacun peut jouir de ses droits civils (art. 11 CC). Il y a donc lieu de n'admettre que restrictivement le caractère absolu d'un droit strictement personnel (ATF 117 II 6 c. 1b; Werro Schmidlin, Commentaire romand, n. 30 ss ad art. 19 aCC et Perrin, ibidem, n. 9 ss ad art. 304 CC). c) En l’espèce, la recourante ne fait valoir aucun élément susceptible de remettre en cause l’appréciation des premiers juges. En effet, elle n’expose pas de manière concrète en quoi l’acquisition de la nationalité italienne par sa fille serait préjudiciable à cette dernière. Elle concède d’ailleurs ne pas s’être renseignée sur ce point et se contente d'invoquer d’éventuelles contraintes susceptibles de découler de cette deuxième nationalité. Il apparaît au demeurant qu’il est manifestement dans l’intérêt de cette enfant de bénéficier également de la nationalité de son père, que cela soit sous l’angle de son développement personnel au niveau de la construction de son identité, qui doit pouvoir se fonder sur l’origine des deux parents, ou en regard des avantages purement pratiques, culturels, voire économiques liés à toutes double-nationalité. Au surplus, la recourante semble soutenir, à tort, que l’acquisition d'une nationalité consisterait en un droit strictement personnel absolu de l’enfant, lequel est en réalité de nature relative. Le TF l'a en effet admis pour une question relativement similaire, soit le changement de nom d'un mineur (ATF 117 II 6 c. 1b). Les parents d’un mineur ont ainsi toute latitude pour engager une procédure de naturalisation en son nom, cela au titre de leur compétence parentale découlant des art. 301 et 302 CC, pour autant que le bien de l’enfant ne soit pas menacé. Enfin, si la double nationalité n'est pas toujours dans l'intérêt de l'enfant (CTUT du 25 août 2011/161), cette dernière pourra y renoncer à sa majorité. A l'inverse, si les démarches ne sont pas effectuées avant la majorité, l'enfant pourrait alors ne pas obtenir le passeport italien si elle ne réside pas en Italie. Compte tenu de ce qui précède, il convient d'enjoindre A.M.________ d'entreprendre les démarches nécessaires. Il y a ainsi lieu de confirmer la décision attaquée sur ce point.</w:t>
      </w:r>
    </w:p>
    <w:p>
      <w:r>
        <w:rPr>
          <w:b/>
        </w:rPr>
        <w:t>E. 3</w:t>
      </w:r>
    </w:p>
    <w:p>
      <w:r>
        <w:t>a) La recourante remet également en cause l’étendue du droit de visite de l’intimé, soutenant, en premier lieu, que celui-ci ne serait pas en mesure de lever l’enfant à 7h et que ce réveil risquerait de perturber le rythme biologique de cette dernière. Elle expose en outre qu’il serait préférable pour l’enfant de pouvoir rentrer le dimanche à 19h, au lieu d’être amenée à la garderie par le père le lundi matin. Enfin, la recourante reproche aux premiers juges de s’être écartés de la proposition du SPJ portant sur l’étendue du droit de visite en dehors du week-end, la variante retenue, soit du jeudi soir au vendredi à 18h, retardant le début de ses propres week-ends et risquant de la limiter selon elle dans sa liberté de mouvement. b) Les art. 273 ss CC relatifs aux relations personnelles d'un enfant avec ses père et mère ou des tiers n'ont pas été modifiés par l'entrée en vigueur du nouveau droit, de sorte que la doctrine et la jurisprudence rendues avant le 1 er janvier 2013 conservent toute leur pertinence.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 ème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(TF 5A_586/2012 du 12 décembre 2012 c. 4.2; ATF 127 III 295 c. 4a; ATF 123 III 445 c. 3c, JT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précité c. 4a).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(ATF 127 III 295 précité c. 4a; ATF 123 III 445 c. 3b). c) En l’espèce, il n’est pas contesté que le père se montre totalement adéquat avec l'enfant et que cet enfant interagit positivement avec son père. Le SPJ a également relevé que celui-ci présentait des conditions matérielles adéquates pour l’accueil de l’enfant et qu’il avait la capacité d’aménager son emploi du temps en fonction de la prise en charge de cette dernière. Compte tenu de ce contexte favorable, le SPJ a préconisé un élargissement du droit de visite du père selon les modalités suivantes : un week-end sur deux, la nuit du mercredi au jeudi de la semaine où il n’accueille pas son enfant durant le week-end et la moitié des vacances scolaires. Certes, les premiers juges se sont légèrement écartés de cette proposition, en ce sens que la fin du week-end a été fixée au lundi matin à 8h et le droit de visite en semaine a été fixé du jeudi soir à 18h au vendredi soir à 18h. Cette extension ne prête cependant pas le flanc à la critique. Non seulement il est préférable que le père puisse avoir son enfant du jeudi au vendredi, vu qu’il est parvenu à s’organiser pour ne pas travailler ce dernier jour, mais, de surcroît, la restitution de l’enfant le vendredi à 18h se révèle parfaitement adéquate et même conforme à la pratique usuelle. Enfin, quant au moment de restitution de l’enfant à la mère à l’issue du week-end, fixée au lundi matin à 8h, il n’y a pas non plus de motif de s’écarter de la solution retenue par la justice de paix, compte tenu de la marge d’appréciation dont celle-ci dispose et de la qualité de la relation entre le père et sa fille qui justifie pleinement l’octroi d’une plage horaire supplémentaire. De plus, le fait que l'enfant soit directement ramenée à la crèche, réduit le risque de conflit entre les parents. Le recours de A.M.________ doit donc être également rejeté sur ce point.</w:t>
      </w:r>
    </w:p>
    <w:p>
      <w:r>
        <w:rPr>
          <w:b/>
        </w:rPr>
        <w:t>E. 4</w:t>
      </w:r>
    </w:p>
    <w:p>
      <w:r>
        <w:t>a) En conclusion, le recours interjeté par A.M.________ doit être rejeté et la décision entreprise confirmée. Les frais judiciaires de deuxième instance sont arrêtés à 300 fr. et sont mis à la charge de la recourante qui succombe (art. 74a al. 1 TFJC [tarif du 28 septembre 2010 des frais judiciaires civils, RSV 270.11.5]). b) La recourante a requis le bénéfice de l’assistance judiciaire pour la procédure de recours. Au regard de l’art. 117 let. b CPC, applicable par renvoi de l’art. 450f CC, sa requête doit être rejetée. En effet, le recours apparaît d'emblée dépourvu de chances de succès, la recourante n'invoquant pas d'éléments déterminants pour justifier son opposition et sa démarche apparaissant surtout motivée par des considérations chicanières. Par ces motifs, la Chambre des curatelles du Tribunal cantonal, statuant à huis clos, prononce : I. Le recours est rejeté. II. La décision est confirmée. III. La requête d'assistance judiciaire de la recourante A.M.________ est rejetée. IV. Les frais judiciaires, arrêtés à 300 fr. (trois cents francs), sont mis à la charge de la recourante. V. L'arrêt motivé est exécutoire. La présidente :              La greffière : Du 31 octobre 2014 Le dispositif de l'arrêt qui précède est communiqué par écrit aux intéressés. La greffière : Du L'arrêt qui précède, dont la rédaction a été approuvée à huis clos, est notifié à : ‑ Me Thaler (pour A.M.________), ‑ Me Chappaz (pour L.________), - Service de protection de la jeunesse, ORPM de l'Est, et communiqué à : - Justice de paix du district de Lavaux-Oron, - Service de protection de la jeunesse, Unité d'appui juridique,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