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82 vom 7. April 2014</w:t>
      </w:r>
    </w:p>
    <w:p>
      <w:r>
        <w:t>VD Tribunal cantonal, 2014-04-07, FR</w:t>
      </w:r>
    </w:p>
    <w:p>
      <w:r>
        <w:rPr>
          <w:b/>
        </w:rPr>
        <w:t xml:space="preserve">Quelle: </w:t>
      </w:r>
      <w:r>
        <w:t>https://mcp.opencaselaw.ch/entscheid/vd_findinfo_Arr_t___2014___82</w:t>
      </w:r>
    </w:p>
    <w:p>
      <w:r>
        <w:t>FR: VD_FINDINFO Arrêt / 2014 / 82 du 7 avril 2014</w:t>
      </w:r>
    </w:p>
    <w:p>
      <w:r>
        <w:t>IT: VD_FINDINFO Arrêt / 2014 / 82 del 7 aprile 2014</w:t>
      </w:r>
    </w:p>
    <w:p>
      <w:pPr>
        <w:pStyle w:val="Heading2"/>
      </w:pPr>
      <w:r>
        <w:t>Regeste</w:t>
      </w:r>
    </w:p>
    <w:p>
      <w:r>
        <w:t>AA, LIEN DE CAUSALITÉ, AFFECTION PSYCHIQUE, RENTE D'INVALIDITÉ, INDEMNITÉ POUR ATTEINTE À L'INTÉGRITÉ, ATTEINTE À LA SANTÉ PHYSIQUE, EXIGIBILITÉ | 29 al. 2 Cst., 18 al. 1 LAA, 19 al. 1 LAA, 24 al. 1 LAA, 25 al. 1 LAA, 4 LPGA</w:t>
      </w:r>
    </w:p>
    <w:p>
      <w:pPr>
        <w:pStyle w:val="Heading2"/>
      </w:pPr>
      <w:r>
        <w:t>Erwägungen</w:t>
      </w:r>
    </w:p>
    <w:p>
      <w:r>
        <w:rPr>
          <w:b/>
        </w:rPr>
        <w:t>E. 6</w:t>
      </w:r>
    </w:p>
    <w:p>
      <w:r>
        <w:t>Cela étant, il y encore lieu d’examiner le calcul du taux d’invalidité auquel a procédé l’intimée. a) aa) Pour évaluer le taux d’invalidité, le revenu du travail que l'assuré aurait pu obtenir s’il n’était pas invalide est comparé à celui que l’assuré devenu invalide par suite d'un accident pourrait obtenir en exerçant l’activité que l’on peut raisonnablement attendre de lui, après exécution éventuelle de traitements et de mesures de réadaptation et compte tenu d’une situation équilibrée du marché du travail (cf. art. 16 LPGA; cf. TF 8C_125/2010 du 2 novembre 2010 consid. 2; cf. Jean-Maurice Frésard/Margit Moser-Szeless , op. cit. n° 165 p. 898). La notion de marché du travail équilibré est certes théorique et abstraite mais elle est inhérente au système et trouve son fondement à l'art. 16 LPGA (applicable en vertu du renvoi de l'art. 18 LAA). Cela signifie qu'il n'y a pas lieu d'examiner la question de savoir si un invalide peut être placé eu égard aux conditions concrètes du marché du travail – cette tâche revenant à l'assurance-chômage – mais uniquement de se demander s'il pourrait encore exploiter économiquement sa capacité résiduelle de travail lorsque les places de travail disponibles correspondent à l'offre de la main d'œuvre (cf. TF 8C_771/2011 du 15 novembre 2012 consid. 4.2). C'est dès lors en vain que le recourant fait valoir que la comparaison des revenus effectuée par la CNA ne tient pas compte de la réalité du marché du travail. bb)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cf. ATF 128 V 29 consid. 1; cf. TF 9C_195/2010 du 16 août 2010 consid. 6.2; cf. Frésard/Moser-Szeless , op. cit., n° 165 pp. 898-899). Pour procéder à la comparaison des revenus, il convient de se placer au moment de la naissance du droit éventuel à la rente (cf. ATF 129 V 222; cf. TF 9C_254/2010 du 29 octobre 2010 consid. 4.2). cc)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cf. TF 9C_651/2008 du 9 octobre 2009, consid. 6.1.2.1). dd)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descriptions de postes de travail établies par la CNA (cf. ATF 135 V 297 consid. 5.2, 129 V 472 consid. 4.2.1; cf. TF 8C_287/2010 du 18 novembre 2010 consid. 3). Dans ce cas,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cf.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cf. également TF 8C_809/2008 du 19 juin 2009 consid. 4.2.2). Il s'agit d'assurer une certaine représentativité des DPT produites et de garantir le respect du droit d'être entendu du recourant (ATF 129 V 472; cf. TF 8C_809/2008 du 19 juin 2009 consid. 4.2.2). b) En l'occurrence, le recourant ne conteste pas le revenu sans invalidité, fixé à 4'900 fr. par mois par la CNA, mais critique le choix des DPT auquel a procédé l’intimée pour établir son revenu d’invalide. A cet égard, il faut constater que faute pour le recourant d’avoir repris une activité adaptée à son handicap, la CNA était fondée à recourir aux DPT pour établir son revenu d'invalide. Les cinq DPT retenues par la CNA – à savoir chauffeur de taxi (DPT n° 10500) collaborateur de production (à Payerne et à Crissier, DPT n° 5957 et n° 5828), employé de garage (DPT n° 2261) et aide-mécanicien (DPT n° 3305) - sont compatibles avec les limitations fonctionnelles du recourant liées à son atteinte à l’épaule gauche (à savoir pas d’activité exigeant la sollicitation ou la manutention du bras gauche au-delà de l’horizontale, ni le port de charges supérieures à 10 kg avec le bras gauche), puisqu’il s’agit d’activités n’impliquant pas le port de charges de plus de 10 kg ou de travailler avec les bras au-dessus de l’horizontale. Les DPT retenues apparaissent également compatibles avec la formation et l’expérience professionnelle du recourant. On relèvera en particulier que le recourant a déjà exercé l’activité de chauffeur de taxi (cf. son audition effectuée par la CNA le 27 avril 2012). En outre, les conditions formelles posées par la jurisprudence ont été respectées, puisque le recourant a pu prendre connaissance, dans le cadre de la présente procédure judiciaire, du nombre total de postes de travail entrant en considération pour lui d’après son handicap, ainsi que du salaire le plus haut, du salaire le plus bas et du salaire moyen du groupe de référence. Une éventuelle violation de son droit d’être entendu a ainsi été réparée dans la présente procédure (cf. supra consid. 3b). Les critiques du recourant selon lesquelles la CNA n’a pas examiné les métiers de cariste, aide-couvreur ou aide-serrurier, pour établir son revenu d’invalide ne sont par ailleurs pas fondées. En effet, on relèvera d’abord que le Dr C.________ a retenu que l’activité d’aide-serrurier était contre-indiquée compte tenu de son état de santé (cf. son rapport médical du 2 mars 2011). Pour le surplus, ni les constatations effectuées par les médecins consultés, ni l’état des connaissances professionnelles du recourant n’excluent la reprise d’une activité dans l’un des postes retenus par la CNA. Au demeurant, les activités de cariste ou aide-couvreur ont été indiquées comme adaptées à titre d’exemple, ce qui n’exclut pas l’exigibilité de l’exercice d’autres activités adaptées à son état de santé et ses connaissances professionnelles. C'est dès lors à juste titre que la CNA s'est référée aux cinq DPT qu’elle a produites pour déterminer le salaire d'une personne d'âge moyen affectée des mêmes séquelles accidentelles que le recourant et dont l'activité serait exigible en plein. Quant au revenu d'invalide fixé sur cette base pour l'année 2012 – soit 4'300 fr. par mois (part au treizième salaire incluse), il n'est pas critiquable. c) En comparant le revenu d'invalide au revenu sans invalidité, on aboutit à une incapacité de gain de 12% ([(4'900 – 4’300)/4’900] X 100), ainsi que l’a calculée l'intimée. Par conséquent, le taux de la rente d'invalidité tel que calculé par la CNA échappe à la critique.</w:t>
      </w:r>
    </w:p>
    <w:p>
      <w:r>
        <w:rPr>
          <w:b/>
        </w:rPr>
        <w:t>E. 7</w:t>
      </w:r>
    </w:p>
    <w:p>
      <w:r>
        <w:t>Reste à examiner le bien-fondé du taux de l’indemnité pour atteinte à l’intégrité retenu par l’intimé.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ATF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3 del’OLAA). Pour les atteintes qui sont spéciales ou qui ne figurent pas dans la liste, il y a lieu d'appliquer le barème par analogie, en tenant compte de la gravité de l'atteinte (ch. 1 al. 2 de l'annexe 3 de l’OLAA).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de I’OLAA (ATF 124 V 209 consid. 4a/cc; ATF 116 V 156 consid. 3a; RAMA 1998 n° U 296 p. 235, U 245/96 consid. 2a). L’indemnité pour atteinte à l’intégrité est allouée sous forme de prestation en capital. Elle ne doit pas excéder le montant maximum du gain annuel assuré à l’époque de l’accident (art. 25 al. 1 LAA). Elle constitue un pourcentage de ce montant, fixé sur la base du barème de l’annexe 3 de l’OLAA (cf. ch. 1 de l’annexe 3 de l’OLAA). L’indemnité est fixée en même temps que la rente d’invalidité (art. 24 al. 2 LAA). b) En l’espèce, la CNA a fixé le taux de l’indemnité pour atteinte à l’intégrité à 5% du montant maximum du gain assuré, en se fondant sur l’évaluation à laquelle le Dr R.________ a procédé dans son rapport du 26 juin 2012. Le recourant conteste ce taux, faisant valoir qu’il ne tient pas compte de ses soufffrances physiques et de ses séquelles psychologiques particulières. S’agissant de l’atteinte à la santé psychique du recourant, c’est à juste titre que le Dr R.________ n’en a pas tenu compte pour évaluer l’atteinte à l’intégrité, dès lors que celle-ci ne se trouve pas en lien de causalité avec l’accident, comme cela a déjà été constaté (supra consid. 5a). Pour le surplus, l’appréciation du Dr R.________ est dûment motivée. Ce dernier a en effet retenu que les douleurs que le recourant présente encore à son épaule gauche correspondent à une périarthite scapulo-humérale; il dès lors fixé le taux de l’indemnité pour atteinte à l’intégrité à 5% en se fondant sur les tables d’indemnisations établies par la Division médicale de la CNA. C’est à juste titre que le Dr R.________ n’a pas tenu compte des lésions dégénératives de l’épaule, qui ne sont pas en lien de causalité avec l’accident du 1 er février 2009. Par ailleurs, son évaluation tient compte des plaintes de l’assuré, a été établie en connaissance de l’anamnèse et fait suite à un examen clinique, de sorte qu’il y lieu de lui reconnaître pleine valeur probante. Le taux de l’indemnité pour atteinte à l’intégrité de 5% doit ainsi être confirmé.</w:t>
      </w:r>
    </w:p>
    <w:p>
      <w:r>
        <w:rPr>
          <w:b/>
        </w:rPr>
        <w:t>E. 8</w:t>
      </w:r>
    </w:p>
    <w:p>
      <w:r>
        <w:t>En dernier lieu, on relèvera que le dossier est complet et permet à la Cour de céans de statuer en plein connaissance de cause, de sorte qu’il n’y a pas lieu d’ordonner une instruction complémentaire sous la forme d’une expertise judiciaire, comme le requiert le recourant. Une mesure d’instruction ne serait pas de nature à modifier les considérations qui précédent, puisque les faits pertinents ont pu être établis à satisfaction de droit (appréciation anticipée des preuves, cf. ATF 122 II 464 consid. 4a; TF 8C_764/2009 du 12 octobre 2009 consid. 3.2; TF 9C _440/2008 du 5 août 2008).</w:t>
      </w:r>
    </w:p>
    <w:p>
      <w:r>
        <w:rPr>
          <w:b/>
        </w:rPr>
        <w:t>E. 9</w:t>
      </w:r>
    </w:p>
    <w:p>
      <w:r>
        <w:t>a) Vu ce qui précède, le recours, mal fondé, doit être rejeté, et la décision sur opposition attaquée confirmée. b) Il n’y a pas lieu de percevoir de frais judiciaires, la procédure étant gratuite (art. 61 let. a LPGA). Le recourant qui succombe n’a pas le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