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738 vom 5. Dezember 2014</w:t>
      </w:r>
    </w:p>
    <w:p>
      <w:r>
        <w:t>VD Tribunal cantonal, 2014-12-05, FR</w:t>
      </w:r>
    </w:p>
    <w:p>
      <w:r>
        <w:rPr>
          <w:b/>
        </w:rPr>
        <w:t xml:space="preserve">Quelle: </w:t>
      </w:r>
      <w:r>
        <w:t>https://mcp.opencaselaw.ch/entscheid/vd_findinfo_Arr_t___2014___738</w:t>
      </w:r>
    </w:p>
    <w:p>
      <w:r>
        <w:t>FR: VD_FINDINFO Arrêt / 2014 / 738 du 5 décembre 2014</w:t>
      </w:r>
    </w:p>
    <w:p>
      <w:r>
        <w:t>IT: VD_FINDINFO Arrêt / 2014 / 738 del 5 dicembre 2014</w:t>
      </w:r>
    </w:p>
    <w:p>
      <w:pPr>
        <w:pStyle w:val="Heading2"/>
      </w:pPr>
      <w:r>
        <w:t>Regeste</w:t>
      </w:r>
    </w:p>
    <w:p>
      <w:r>
        <w:t>DROIT D'ÊTRE ENTENDU, ÉVALUATION DE L'INCAPACITÉ DE TRAVAIL, ATTEINTE À LA SANTÉ, DROIT À LA PRESTATION D'ASSURANCE, PRESTATION D'ASSURANCE{AI}, ASSISTANCE JUDICIAIRE | 29 al. 2 Cst., 4 al. 1 LAI, 6 LPGA, 7 al. 1 LPGA, 8 al. 1 LPGA</w:t>
      </w:r>
    </w:p>
    <w:p>
      <w:pPr>
        <w:pStyle w:val="Heading2"/>
      </w:pPr>
      <w:r>
        <w:t>Erwägungen</w:t>
      </w:r>
    </w:p>
    <w:p>
      <w:r>
        <w:rPr>
          <w:b/>
        </w:rPr>
        <w:t>E. 5</w:t>
      </w:r>
    </w:p>
    <w:p>
      <w:r>
        <w:t>mars 2014, en ce sens qu’il est mis au bénéfice d’une rente entière d’invalidité depuis le 1 er mars 2010 pour une durée indéterminée. Subsidiairement, il a demandé l’annulation de dite décision, la cause étant renvoyée à l’office AI pour complément d’instruction et nouvelle décision. Au bénéfice du revenu d’insertion, le recourant a encore sollicité l’octroi de l’assistance judiciaire et à ce que Me Aba Neeman soit désigné en qualité de conseil d’office dans le cadre de la présente procédure. A son mémoire était joint un lot de pièces parmi lesquelles figuraient notamment le rapport du Dr X.________ du 28 mai 2010 ainsi qu’un compte rendu – déjà versé au dossier administratif – adressé au médecin traitant d’un examen radiologique de la colonne vertébrale, du rachis et du bassin réalisé en date du 17 mars 2011 par le Dr Q.________, spécialiste en radiologie et neuroradiologie. Celui-ci y concluait à l’existence de « troubles statiques du rachis avec scoliose dorsale dextro-convexe et lombaire sinistro-convexe et légère bascule du bassin d’environ 8 mm vers la droite. ». Ce médecin ne s’est pas prononcé sur la capacité de travail de l’assuré. Par décision du 30 avril 2014, le magistrat instructeur a accordé au recourant le bénéfice de l’assistance judiciaire avec effet au 7 avril 2014. Il était en outre exonéré du paiement d’avances ainsi que des frais judiciaires, Me Aba Neeman ayant de surcroît été désigné en tant qu’avocat d’office. Dans sa réponse du 20 mai 2014, l’office AI relève en premier lieu que le rapport du 13 janvier 2011 du Dr K.________, médecin d’arrondissement de la CNA, satisfait aux exigences en matière de valeur probante, de sorte que ses conclusions peuvent être suivies. Il n’y a en outre pas lieu de procéder à un complément d’instruction, dès lors que le dossier du recourant est complet sur le plan médical. En se fondant sur l’Enquête suisse sur la structure des salaires (ESS) pour déterminer le revenu d’invalide, l’intimé observe ensuite qu’au regard du large éventail d’activités simples et répétitives que recouvrent les secteurs de la production et des services, il convient d’admettre qu’un certain nombre d’entre elles seraient adaptées aux problèmes de santé du recourant. S’agissant de la profession de chauffeur-livreur, l’administration souligne que la spécialiste en réinsertion professionnelle a tenu compte de l’avis du SMR du 24 avril 2013, en ce sens qu’une telle activité accomplie dans le transport d’objets légers serait adaptée aux limitations fonctionnelles de l’intéressé. Par ailleurs, il ressort de la fiche de calcul du salaire exigible du 1 er février 2012 que ce dernier pourrait notamment exercer une activité d’ouvrier au contrôle qualité de composant, d’ouvrier de production sur chaîne automatisée, d’ouvrier de montage ou de déconstruction, et d’ouvrier d’atelier polyvalent dans des activités simples et répétitives. L’intimé rappelle enfin que la CNA a retenu dans sa décision du 9 mars 2011, confirmée sur opposition le 17 janvier 2012, que l’assuré était à même d’exercer une activité légère dans différents secteurs de l’industrie et que son taux d’invalidité s’élevait à 23%. Il a en conséquence proposé le rejet du recours. Le 13 juin 2014, le recourant a fait savoir qu’il n’avait pas d’observations particulières à formuler à la suite de l’écriture de l’intimé. Cette lettre a été transmise pour information à l’office intimé, qui n’a pas réagi. D. Le 8 juillet 2014, le conseil du recourant a fait parvenir le relevé des opérations effectuées dans le cadre de la présente procédure. Le temps total qu’il leur avait consacré s’élevait à 2 h 20, tandis qu’il annonçait des débours pour un montant de 34 fr. 40.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et satisfaisant aux autres conditions de forme prévues par la loi (art. 61 let. b LPGA), le recours est recevable. Il y a donc lieu d’entrer en matière. 2. a) En l’occurrence, doit être tranchée la question de savoir si l’assuré, présente, en raison d’une atteinte à la santé, une diminution de sa capacité de travail et de sa capacité de gain susceptible, suivant les conclusions du recours, de lui ouvrir le droit à une rente entière d’invalidité à compter du 1 er mars 2010 pour une durée indéterminée. b) Le recourant se fonde sur l’avis médical du SMR du 24 avril 2013, plus particulièrement sur le fait que l’auteur de l’avis (Dr A.________) indique que le stage de chauffeur-livreur effectué dans le cadre de la mesure d’orientation professionnelle « ne respecte pas rigoureusement toutes les limitations fonctionnelles ». Il en déduit qu’on ne peut pas lui imputer une pleine capacité de travail et que l’octroi d’une rente entière est la seule mesure envisageable. Il conclut subsidiairement au renvoi de la cause à l’office intimé afin qu’il procède à un complément d’instruction, notamment sous forme d’une expertise tendant à déterminer sa capacité de travail. Il invoque encore une violation du droit d’être entendu pour défaut de motivation. 3. Il convient en premier lieu d’examiner si, en rendant la décision dont est recours, l’office AI a violé le droit d’être entendu du recourant. a) Selon la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(ATF 126 I 15 consid. 2a/aa ; 125 II 369 consid. 2c ; TF 8C_1001/2008 du 31 juillet 2009 consid. 2.2). En règle générale, l’étendue de l’obligation de motiver dépend de la complexité de l’affaire à juger, de la liberté d’appréciation dont jouit le juge et de la potentielle gravité des conséquences de sa décision (ATF 112 Ia 107 consid. 2b ; TF 8C_1001/2008 du 31 juillet 2009 consid. 2.2). Le droit d’être entendu (art. 29 al. 2 Cst. [Constitution fédérale de la Confédération suisse du 18 avril 1999 ; RS 101]) est une garantie constitutionnelle de caractère formel, dont la violation doit entraîner l’annulation de la décision attaquée, indépendamment des chances de succès du recourant sur le fond (ATF 132 V 387 consid. 5.1 p. 390 ; 127 V 431 consid. 3d/aa p. 437). Pour autant qu’elle ne soit pas d’une gravité particulière, la violation du droit d’être entendu est réparée lorsque la partie lésée a la possibilité de s’exprimer devant une autorité de recours jouissant d’un plein pouvoir d’examen (ATF 132 V 387 consid. 5.1 p. 390 et les arrêts cités). Au demeurant, la réparation d’un vice éventuel ne doit avoir lieu qu’exceptionnellement (ATF 137 I 195 consid. 2.3.2 p. 197 ; 135 I 279 consid. 2.6.1). b) En l’espèce, l’office AI se réfère aux conclusions du stage pour retenir qu’une activité de chauffeur-livreur dans le transport d’objets légers serait adaptée aux limitations fonctionnelles du recourant. L’intimé ne cite certes pas expressément l’avis du SMR mais restreint néanmoins l’activité de transport aux seuls objets légers, de telle sorte que l’on peut admettre qu’il a également pris en compte l’avis du SMR. L’omission ne saurait ainsi être considérée comme particulièrement grave et l’assuré a eu l’opportunité de s’exprimer devant une autorité de recours disposant d’un plein pouvoir d’examen compte tenu de la maxime d’office prévalant en matière d’assurances sociales (cf. art. 61 let. c LPGA et TF 9C_403/2010 du 31 décembre 2010 consid. 4.2.2). 4. Sur le fond, le recourant conteste la capacité de travail entière qui lui a été reconnue par l’intimé. Il estime qu’au vu de ses limitations fonctionnelles, l’activité de chauffeur-livreur telle que mentionnée dans la décision dont est recours n’est pas adaptée à son état de santé, pas plus du reste qu’une autre profession. Suivant les conclusions de son recours, il en déduit le droit à une rente entière d’invalidité à compter du 1 er mars 2010 ce, pour une durée indéterminée. a) L’art. 28 al. 2 LAI prévoit que la rente est échelonnée selon le degré d’invalidité : un degré d’invalidité de 40% au moins donne droit à un quart de rente, un degré d’invalidité de 50% au moins donne droit à une demi-rente, un degré d’invalidité de 60% au moins donne droit à un trois quarts de rente et un degré d’invalidité de 70% au moins donne droit à une rente entière. Aux termes de l’art. 8 al. 1 LPGA, est réputé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 TF 8C_150/2013 du 23 septembre 2013 consid. 3.2). c) En l’espèce, la capacité de travail de l’assuré ne saurait être évaluée exclusivement sous l’angle d’une activité de chauffeur-livreur. Au demeurant, l’auteur de l’avis du 24 avril 2013 n’exclut pas cette activité. Principalement, il confirme l’exigibilité d’une pleine capacité de travail dans une activité adaptée. Ce n’est que subsidiairement qu’il réserve l’avis des spécialistes de la réadaptation dans l’hypothèse où l’activité de chauffeur-livreur devait être prise comme base de référence dans la mesure où il s’agit d’une activité très variée suivant le domaine (poids et volume des objets livrés, nombre de destinataires en une journée, taille du véhicule). On relèvera au demeurant que le rapport d’observation du Centre de formation ORIF mentionne un stage d’aide chauffeur-livreur dans une entreprise de quincaillerie sans qu’aucune contrainte physique particulière ne soit venue entraver le travail du recourant. L’auteur du rapport d’observation conclut que la profession de chauffeur-livreur n’entre pas en conflit avec la problématique physique. Il est par conséquent concevable que la livraison d’articles de quincaillerie puisse constituer une activité professionnelle compatible avec les limitations fonctionnelles de l’assuré. Quoi qu’il en soit, dans la mesure où l’office AI a finalement déterminé le revenu d’invalide de l’assuré non pas en se basant sur une activité de chauffeur-livreur mais en se référant aux tableaux de l’Enquête suisse sur la structure des salaires, comme le permet la jurisprudence (ATF 135 V 297 consid. 5.2 p. 301; 129 V 472 consid. 4.2.1 p. 475 ; TF 389/2012 du 9 octobre 2012 consid. 4.2.2), il demeure sans incidence que l’exigibilité de l’activité précitée n’ait pas été investiguée plus avant. d) Subsiste encore la question de l’examen de la capacité de travail du recourant. aa)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9C_682/2013 du 25 février 2014 consid. 3.2.1). L'art. 61 let. c LPGA prévoit le principe de la libre appréciation des preuves, selon lequel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9C_237/2013 du 22 mai 2013 consid.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p. 232 ; 125 V 351 consid. 3a p. 352 et la référence citée ; TF 9C_152/2014 du 21 juillet 2014 consid. 3.1.1). bb) On ne peut en l’occurrence qu’observer qu’aucun rapport médical ne s’inscrit en faux contre l’évaluation faite par le SMR tant s’agissant des diagnostics que des limitations fonctionnelles et de la capacité de travail dans une activité adaptée à celles-ci. Bien au contraire, la Clinique L.________ considère même à la date du 15 novembre 2010 qu’il n’existe pas de raison médicale de s’opposer au souhait de l’assuré de reprendre son activité sur des chantiers, à la condition de la poursuite d’un reconditionnement à l’effort. Le médecin d’arrondissement de la CNA retient dans son examen final une pleine capacité de travail dans une activité adaptée et son énumération des limitations fonctionnelles rejoint celle de l’office AI, sous réserve de celles liées aux lombalgies (évitement des positions statiques debout prolongées et en porte-à-faux statiques du rachis) ne relevant pas de l’accident assuré. L’appréciation de l’orthopédiste X.________ du 28 mai 2010 comme celle du radiologue Q.________ du 23 mars 2011 ne sont d’aucune utilité au recourant dans la mesure où ces praticiens ne se prononcent pas sur la capacité de travail et les limitations fonctionnelles. Le psychiatre traitant du recourant estime en date du 28 novembre 2011 la reprise de l’activité professionnelle possible. Il ne fait état d’aucune incapacité de travail ressortant de l’atteinte psychique. Enfin, le médecin traitant considère dans son rapport du 14 avril 2011 que son patient demeure capable d’effectuer de manière régulière des travaux légers. S’agissant des limitations fonctionnelles, il ne va pas au-delà de celles retenues par l’office AI en matière de mobilité et de port de charges (rapports des 14 avril et 18 octobre 2011). Il invoque certes d’autres limitations dans son rapport du 14 avril 2011, plus particulièrement en matière d’exposition au bruit, à l’humidité, au froid, à la chaleur, à la fumée, au gaz, aux vapeurs et émanations et proscrit le travail de nuit. Cependant, aucune des atteintes physiques du recourant n’explique de telles limitations. Par ailleurs, l’offre sur le marché du travail en matière d’activités simples et répétitives dans les domaines de la production et des services demeure suffisante pour permettre au recourant d’exercer une activité adaptée, nonobstant de telles limitations. e) Il découle de ce qui précède que c’est à juste titre que l’administration intimée a considéré que le recourant présentait, à partir du 13 janvier 2011, une capacité de travail entière dans une activité adaptée à ses limitations fonctionnelles. Il s’ensuit que la conclusion subsidiaire du recourant, tendant au renvoi de la cause à l’office intimé en vue d'un complément d'instruction, est infondée. Au demeurant, pareil renvoi ne se justifie pas non plus dès lors que le dossier constitué est complet, permettant ainsi de statuer en pleine connaissance de cause, puisque les faits pertinents ont pu être constatés à satisfaction de droit (appréciation anticipée des preuves; ATF 136 I 229 consid. 5.3 p. 236 ; 124 V 90 consid. 4b p. 94 ; 122 V 157 consid. 1d p. 162 ; TF 9C_175/2011 du 5 mars 2012 consid. 3.3). f) En définitive, en mettant un terme avec effet au 30 avril 2011 à l’octroi de la rente entière d’invalidité servie depuis le 1 er mars 2010, motif pris que l’état de santé du recourant s’était amélioré depuis le mois de janvier 2011 (cf. art. 88a al. 1 RAI [règlement fédéral du 17 janvier 1961 sur l’assurance-invalidité ; RS 831.201]), la décision attaquée échappe à la critique. Il s’ensuit que le recours, mal fondé, doit être rejeté, ce qui conduit à la confirmation de la décision rendue le 5 mars 2014.</w:t>
      </w:r>
    </w:p>
    <w:p>
      <w:r>
        <w:rPr>
          <w:b/>
        </w:rPr>
        <w:t>E. 6</w:t>
      </w:r>
    </w:p>
    <w:p>
      <w:r>
        <w:t>a) La procédure est onéreuse ; en principe, la partie dont les conclusions sont rejetées supporte les frais de procédure (art. 69 al. 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 bis LAI ; art. 49 al. 1 LPA-VD). Toutefois, dès lors que le recourant est au bénéfice de l’assistance judiciaire, ces frais sont laissés à la charge de l’Etat. b) Le recourant a obtenu, au titre de l’assistance judiciaire, la commission d’office d’un avocat en la personne de Me Aba Neeman, à compter du 7 avril 2014 jusqu’au terme de la présente procédure (art. 118 al. 1 let. c CPC, applicable par renvoi de l’art. 18 al. 5 LPA-VD). Le 8 juillet 2014, Me Neeman a produit le relevé des opérations effectuées dans le cadre de la présente procédure. Son activité a été contrôlée au regard de la conduite du procès et rentre globalement dans le cadre de l’accomplissement du mandat confié, de sorte qu’elle doit être arrêtée à 2 heures 20 au total, au tarif horaire de 180 fr. (art. 2 al. 1 let. a RAJ [règlement du 7 décembre 2010 sur l’assistance judiciaire en matière civile ; RSV 211.02.3]), débours en sus par 34 fr. 40, à quoi s’ajoute la TVA au taux de 8%, ce qui représente un montant total de 464 fr. 85 pour l’ensemble de l’activité déployée dans le cadre de la présente cause.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c) Succombant, le recourant ne saurait prétendre à l’indemnité de dépens qu’il sollicite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