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614 vom 7. August 2014</w:t>
      </w:r>
    </w:p>
    <w:p>
      <w:r>
        <w:t>VD Tribunal cantonal, 2014-08-07, FR</w:t>
      </w:r>
    </w:p>
    <w:p>
      <w:r>
        <w:rPr>
          <w:b/>
        </w:rPr>
        <w:t xml:space="preserve">Quelle: </w:t>
      </w:r>
      <w:r>
        <w:t>https://mcp.opencaselaw.ch/entscheid/vd_findinfo_Arr_t___2014___614</w:t>
      </w:r>
    </w:p>
    <w:p>
      <w:r>
        <w:t>FR: VD_FINDINFO Arrêt / 2014 / 614 du 7 août 2014</w:t>
      </w:r>
    </w:p>
    <w:p>
      <w:r>
        <w:t>IT: VD_FINDINFO Arrêt / 2014 / 614 del 7 agosto 2014</w:t>
      </w:r>
    </w:p>
    <w:p>
      <w:pPr>
        <w:pStyle w:val="Heading2"/>
      </w:pPr>
      <w:r>
        <w:t>Regeste</w:t>
      </w:r>
    </w:p>
    <w:p>
      <w:r>
        <w:t>CURATELLE, PROVISOIRE, MESURE PROVISIONNELLE, REJET DE LA DEMANDE, ASSISTANCE JUDICIAIRE | 390 al. 1 ch. 1 CC, 398 CC, 445 al. 1 CC, 450 CC, 117 CPC (CH)</w:t>
      </w:r>
    </w:p>
    <w:p>
      <w:pPr>
        <w:pStyle w:val="Heading2"/>
      </w:pPr>
      <w:r>
        <w:t>Erwägungen</w:t>
      </w:r>
    </w:p>
    <w:p>
      <w:r>
        <w:rPr>
          <w:b/>
        </w:rPr>
        <w:t>E. 1</w:t>
      </w:r>
    </w:p>
    <w:p>
      <w:r>
        <w:t>Le recours est dirigé contre une décision du juge de paix instituant une curatelle de portée générale provisoire à forme des art. 398 et 445 al. 1 CC en faveur d’E.________.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w:t>
      </w:r>
    </w:p>
    <w:p>
      <w:r>
        <w:rPr>
          <w:b/>
        </w:rPr>
        <w:t>E. 4</w:t>
      </w:r>
    </w:p>
    <w:p>
      <w:r>
        <w:t>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le conseil de l’intéressé, le présent recours est recevable. Les pièces produites en deuxième instance sont également recevables. Le recours étant manifestement mal fondé au vu des considérations qui seront développées ci-après, il a été renoncé à consulter l'autorité de protection (cf. art. 450d al. 1 CC; Reusser, Basler Kommentar, nn. 6 ss ad art. 450d CC, pp. 657 et 658) et le curateur provisoire n’a pas été invité à se déterminer (art. 312 al. 1 CPC, applicable par renvoi de l’art. 450f CC). 2. Le recourant conteste la curatelle de portée générale provisoire instituée en sa faveur. Il affirme que cette mesure va à l’encontre de la conclusion du rapport d’expertise du 24 février 2014, qu’elle ne l’empêchera pas de s’abstenir de suivre sa médication ni d’acquérir et de consommer des stupéfiants et qu’elle n’est pas justifiée compte tenu de la modestie de son pécule. Il soutient également qu’il est inadmissible de lui confisquer ses documents d’identité dès lors qu’il envisage de rejoindre ses parents au nord de l’Espagne. 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L’expression «troubles psychiques», qui doit être comprise dans son acception large (Meier/Lukic, op. cit., n. 401, p. 191), vise toutes les pathologies mentales reconnues en psychiatrie, soit les psychoses et les psychopathies ayant des causes physiques ou non, ainsi que les démences. La notion vise également les dépendances, en particulier la toxicomanie, l’alcoolisme ou la pharmacodépendance (Droit de la protection de l’adulte, Guide pratique COPMA, 2012, n. 5.9, p. 137; Meier/Lukic, op. cit., nn. 400 et 401, p. 191).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2012,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 et 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 et 509, p. 230; Henkel, Basler Kommentar, op. cit.,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sur le tout : JT 2013 III 44). c) L'autorité de protection prend, d'office ou à la demande d'une personne partie à la procédure, toutes les mesures provisionnelles nécessaires pendant la durée de la procédure. Elle peut notamment ordonner une mesure de protection de l'adulte à titre provisoire (art. 445 al. 1 CC; Guide pratique COPMA, n. 1.184, pp. 74 et 75). Ainsi, le retrait de l'exercice des droits civils peut constituer provisoirement l'ultima ratio, si le motif fondant l'instauration de la curatelle de portée générale est hautement vraisemblable (Auer/Marti, Basler Kommentar, op. cit., nn. 16 et 29 ad art. 445 CC; Steck, in Commentaire du droit de la famille [CommFam], Protection de l’adulte, Berne 2013, n. 10 ad art. 445 CC). S’agissant d’une mesure provisoire, il suffit que la cause et la condition soient réalisées à première vue (JT 2005 III 51). d) En l’espèce, il ressort du rapport d’expertise psychiatrique du 24 février 2014 que le recourant souffre d’une maladie psychiatrique grave associant les symptômes d’une schizophrénie hébéphrénique à ceux d’un trouble affectif bipolaire. Ces troubles se caractérisent notamment par une intolérance de l’intéressé à toute manoeuvre d’autrui pour restreindre sa liberté, en particulier à l’égard des agents de la force publique, et peuvent le conduire à faire preuve de violence en cas de contrainte physique. Il est possible que cette maladie se soit aggravée depuis le début des années 2000. Depuis 2008, le recourant a fait l’objet d’un traitement institutionnel en lien avec sa pathologie psychiatrique. Cette mesure a été levée le 7 mai 2014 sur la base du rapport du docteur G.________, qui a constaté son échec. Ce dernier a préconisé une libération sans condition du recourant, tout en relevant qu’il devait savoir à qui s’adresser pour un soutien concret dans la gestion de ses affaires administratives. Selon les docteurs M.________ et Z.________, la perspective de sortie de prison après une longue incarcération représente un stress majeur et les risques de décompensation sont importants. En outre, le recourant a une conscience morbide partielle de sa maladie et a immédiatement cessé de suivre sa médication dès qu’il a appris que la mesure thérapeutique avait été levée, ce qu’il a confirmé lors de son audition devant le juge de paix le 2 juin 2014. Or, selon les médecins précités, sans la prise d’une médication neuroleptique adéquate, le recourant présente habituellement les premiers signes de décompensation après quelques semaines, quelques mois tout au mieux, et devient alors très irritable, avec un sentiment de toute puissance, qui peut conduire à des troubles du comportement, notamment de l’agressivité. Il est également à craindre que le recourant consomme de l’alcool et de la drogue et dilapide son pécule à sa libération. En effet, lors de son audition devant le juge de paix le 2 juin 2014, E.________ a indiqué qu’il envisageait de partir au Maroc pour faire la fête dès sa sortie de prison, ce qui comprenait notamment la consommation de drogues. Il a expliqué que ses économies, à hauteur de 6'000 fr., seraient en partie utilisées pour ce séjour. Au regard des éléments précités, tant la cause que la condition d’une curatelle de portée générale sont réalisées à première vue, à tout le moins dans le cadre provisionnel. En effet, l’affection diagnostiquée constitue à l’évidence des troubles psychiques au sens de l’art. 390 al. 1 ch. 1 CC et le besoin particulier d’aide du recourant est avéré. Celui-ci ne le conteste du reste pas vraiment, mais soutient que l’instauration d’une curatelle ne l’empêchera pas de s’abstenir de suivre sa médication et de consommer des stupéfiants. Cet élément ne tend qu’à confirmer que le recourant n’a pas conscience de ses troubles. Le recourant affirme également que la mesure n’est pas justifiée compte tenu de la modicité de son pécule. Ce grief doit être rejeté dès lors que les mesures de protection de l’adulte ne sont pas conditionnées à la présence d’une situation financière confortable, mais uniquement au besoin d’assistance de la personne concernée, ce qui est le cas en l’espèce. Enfin, le recourant estime qu’il est inadmissible de lui confisquer ses documents de voyage dès lors qu’il a émis la volonté de rejoindre ses parents en Espagne. La mesure de protection n’a pas pour but d’empêcher un départ du recourant à l’étranger, mais plutôt de s’assurer qu’en cas de départ, il bénéficie de toute l’assistance dont il a besoin en Espagne, ce déplacement ne pouvant alors pas s’effectuer à l’insu du curateur désigné. A l’instar du juge de paix, il se justifie donc de considérer qu’une curatelle de portée générale provisoire est la seule à même, tout au moins provisoirement et jusqu’à de plus amples informations, d’apporter au recourant la protection dont il a besoin. L’institution d’une mesure moins incisive apparaît en l’état insuffisante pour sauvegarder ses intérêts. 3. a) En conclusion, le recours interjeté par E.________ doit être rejeté et l’ordonnance entreprise confirmée. Le présent arrêt peut être rendu sans frais judiciaires (art. 74a al. 4 TFJC [Tarif du 28 septembre 2010 des frais judiciaires civils, RSV 270.11.5]). b)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il y a lieu d’accorder à E.________ le bénéfice de l’assistance judiciaire pour la procédure de recours, les conditions précitées étant remplies, et de désigner Me Jean Lob en qualité de conseil d’office du prénommé, avec effet au 10 juillet 2014. Dans sa liste des opérations du 30 juillet 2014, l’avocat susmentionné indique avoir consacré 6 heures à l’exécution de son mandat, temps qui apparaît raisonnable et admissible au vu de la difficulté de la cause. Compte tenu d’un tarif horaire de 180 fr. hors TVA (art. 2 al. 1 let. a RAJ [Règlement du 7 décembre 2010 sur l'assistance judiciaire en matière civile, RSV 211.02.3]), son indemnité d'office doit être arrêtée à 1’080 fr., à laquelle il convient d’ajouter la TVA à 8%, par 86 fr. 40, et les débours, par 50 fr., plus 4 fr. de TVA (art. 2 al. 3 RAJ), de sorte que le montant total lui revenant à ce titre s’élève à 1'220 fr. 40, débours et TVA compris. Le bénéficiaire de l'assistance judiciaire est, dans la mesure de l'art. 123 CPC, tenu au remboursement de l’indemnité de son conseil d’office, mise à la charge de l'Etat. Par ces motifs, la Chambre des curatelles du Tribunal cantonal, statuant à huis clos, prononce : I. Le recours est rejeté. II. L’ordonnance est confirmée. III. La requête d’assistance judiciaire du recourant E.________ est admise, Me Jean Lob étant désigné conseil d’office avec effet au 10 juillet 2014 dans la procédure de recours. IV. L'arrêt est rendu sans frais judiciaires. V. L’indemnité de Me Jean Lob, conseil d’office du recourant, est arrêtée à 1'220 fr. 40 (mille deux cent vingt francs et quarante centimes), TVA et débours compris. VI. Le bénéficiaire de l’assistance judiciaire est, dans la mesure de l’art. 123 CPC, tenu au remboursement de l’indemnité de son conseil d’office, mise à la charge de l’Etat. VII. L’arrêt motivé est exécutoire. La présidente :              La greffière : Du</w:t>
      </w:r>
    </w:p>
    <w:p>
      <w:r>
        <w:rPr>
          <w:b/>
        </w:rPr>
        <w:t>E. 7</w:t>
      </w:r>
    </w:p>
    <w:p>
      <w:r>
        <w:t>août 2014 Le dispositif de l'arrêt qui précède est communiqué par écrit aux intéressés. La greffière : Du L'arrêt qui précède, dont la rédaction a été approuvée à huis clos, est notifié à : ‑ Me Jean Lob (pour M. E.________), ‑ M. W.________, assistant social auprès de l’Office des curatelles et tutelles professionnelles,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