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595 vom 12. Juli 2014</w:t>
      </w:r>
    </w:p>
    <w:p>
      <w:r>
        <w:t>VD Tribunal cantonal, 2014-07-12, FR</w:t>
      </w:r>
    </w:p>
    <w:p>
      <w:r>
        <w:rPr>
          <w:b/>
        </w:rPr>
        <w:t xml:space="preserve">Quelle: </w:t>
      </w:r>
      <w:r>
        <w:t>https://mcp.opencaselaw.ch/entscheid/vd_findinfo_Arr_t___2014___595</w:t>
      </w:r>
    </w:p>
    <w:p>
      <w:r>
        <w:t>FR: VD_FINDINFO Arrêt / 2014 / 595 du 12 juillet 2014</w:t>
      </w:r>
    </w:p>
    <w:p>
      <w:r>
        <w:t>IT: VD_FINDINFO Arrêt / 2014 / 595 del 12 luglio 2014</w:t>
      </w:r>
    </w:p>
    <w:p>
      <w:pPr>
        <w:pStyle w:val="Heading2"/>
      </w:pPr>
      <w:r>
        <w:t>Regeste</w:t>
      </w:r>
    </w:p>
    <w:p>
      <w:r>
        <w:t>INDEMNITÉ DE CHÔMAGE, CALCUL, SUSPENSION DU DROIT À L'INDEMNITÉ, FAUTE LÉGÈRE, RECHERCHE DE TRAVAIL INSUFFISANTE, RESTITUTION DU DÉLAI | 17 al. 1 LACI, 30 al. 1 let. c LACI, 30 al. 3 LACI, 8 al. 1 let. g LACI, 41 LPGA, 26 al. 2 OACI, 45 OACI</w:t>
      </w:r>
    </w:p>
    <w:p>
      <w:pPr>
        <w:pStyle w:val="Heading2"/>
      </w:pPr>
      <w:r>
        <w:t>Erwägungen</w:t>
      </w:r>
    </w:p>
    <w:p>
      <w:r>
        <w:rPr>
          <w:b/>
        </w:rPr>
        <w:t>E. 6</w:t>
      </w:r>
    </w:p>
    <w:p>
      <w:r>
        <w:t>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55 al. 1 LPA-VD ; cf. art. 61 let. g LPGA). Par ces motifs, le juge unique prononce : I. Le recours déposé le 1 er mai 2014 par C.________ est rejeté. II. La décision sur opposition rendue le 8 avril 2014 par le Service de l'emploi, Instance juridique chômage, est confirmée. III. Il n’est pas perçu de frais judiciaires, ni alloué de dépens. Le juge unique :               Le greffier : Du L'arrêt qui précède est notifié à : ‑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