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566 vom 6. August 2014</w:t>
      </w:r>
    </w:p>
    <w:p>
      <w:r>
        <w:t>VD Tribunal cantonal, 2014-08-06, FR</w:t>
      </w:r>
    </w:p>
    <w:p>
      <w:r>
        <w:rPr>
          <w:b/>
        </w:rPr>
        <w:t xml:space="preserve">Quelle: </w:t>
      </w:r>
      <w:r>
        <w:t>https://mcp.opencaselaw.ch/entscheid/vd_findinfo_Arr_t___2014___566</w:t>
      </w:r>
    </w:p>
    <w:p>
      <w:r>
        <w:t>FR: VD_FINDINFO Arrêt / 2014 / 566 du 6 août 2014</w:t>
      </w:r>
    </w:p>
    <w:p>
      <w:r>
        <w:t>IT: VD_FINDINFO Arrêt / 2014 / 566 del 6 agosto 2014</w:t>
      </w:r>
    </w:p>
    <w:p>
      <w:pPr>
        <w:pStyle w:val="Heading2"/>
      </w:pPr>
      <w:r>
        <w:t>Regeste</w:t>
      </w:r>
    </w:p>
    <w:p>
      <w:r>
        <w:t>RESPONSABILITÉ DE L'EMPLOYEUR{AVS}, COTISATION AVS/AI/APG | 52 LAVS</w:t>
      </w:r>
    </w:p>
    <w:p>
      <w:pPr>
        <w:pStyle w:val="Heading2"/>
      </w:pPr>
      <w:r>
        <w:t>Erwägungen</w:t>
      </w:r>
    </w:p>
    <w:p>
      <w:r>
        <w:rPr>
          <w:b/>
        </w:rPr>
        <w:t>E. 2</w:t>
      </w:r>
    </w:p>
    <w:p>
      <w:r>
        <w:t>Le litige porte sur la responsabilité des recourants dans le préjudice subi par la Caisse ensuite du non-paiement de cotisations sociales par la société X.________ Sàrl, au sens de l’art. 52 LAVS.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et 132 III 523 consid. 4.4). Si l’employeur est une personne morale, la responsabilité peut s’étendre, à titre subsidiaire, aux organes qui ont agi en son nom.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w:t>
      </w:r>
    </w:p>
    <w:p>
      <w:r>
        <w:rPr>
          <w:b/>
        </w:rPr>
        <w:t>E. 7</w:t>
      </w:r>
    </w:p>
    <w:p>
      <w:r>
        <w:t>p. 23).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(voir p. ex. ATF 122 III 200 consid. 3b).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(cf.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(cf.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cf. TFA H 252/01 du 14 mai 2002, in VSI 2002 p. 176 s. consid. 3b et d ; cf. TF 9C_344/2011 du 3 décembre 2012 consid. 3.2 ; cf. Mélanie Fretz, La responsabilité selon l’art. 52 LAVS : une comparaison avec les art. 78 LPGA et 52 LPP, in HAVE/REAS 3/2009 p. 238, spéc. p. 242). b) aa) Il n’est pas contesté que des cotisations dues n’ont pas été payées, pendant la période litigieuse, et partant que la caisse de compensation intimée a subi un dommage. bb) A.________ invoque une répartition interne des tâches entre les associés, lui-même s’occupant uniquement de la planification, de la coordination et de la surveillance des chantiers. S’agissant du partage des activités entre les trois associés, il résulte des auditions de ceux-ci dans le cadre de l’enquête pénale qu’il y a effectivement eu une répartition interne des tâches. L’instruction pénale n’a toutefois pas porté sur cette question, laquelle peut rester indécise. En effet, dans l’arrêt 9C_926/2009 du 27 avril 2010 cité par le recourant (cf. déterminations du 25 avril 2013 p. 2), le Tribunal fédéral a certes considéré que les faits reprochés à une entreprise n’étaient pas nécessairement imputables à chacun des organes de celle-ci et que savoir si un organe avait commis une faute dépendait des responsabilités et des compétences qui lui ont été confiées par l’entreprise. Toutefois, s’agissant d’une société anonyme, il s’est fondé dans ce même arrêt sur l’art. 716a al. 1 CO qui énumère les attributions intransmissibles et inaliénables des membres d’un conseil d’administration pour retenir que l’administrateur avait non seulement le devoir d’assister aux séances du conseil d’administration, mais également l’obligation de se faire renseigner périodiquement sur la marche des affaires, qu’il était tenu de prendre les mesures appropriées lorsqu’il avait connaissance ou aurait dû avoir connaissance d’irrégularités commises dans la gestion de la société et que ce devoir de surveillance incombait à tous les membres du conseil d’administration, nonobstant le mode de répartition interne des tâches au sein du conseil d’administration (cf. ATF 114 V 219 consid. 4a p. 223 cité dans cet arrêt). Or l’associé gérant d’une société à responsabilité limitée a le même devoir, comme rappelé au consid. 2a ci-dessus. Ainsi, A.________, qui était associé gérant avec signature individuelle depuis la création de la société jusqu’à la liquidation de celle-ci, a fonctionné en tant qu’organe formel de la société durant cette période. En cette qualité, et ce nonobstant le mode de répartition interne des tâches au sein de la société, il avait l’obligation de veiller à la bonne gestion de cette dernière.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I’AVS conformément à l’art. 14 al. 1 LAVS. Cette obligation s’imposait d’autant plus qu’il s’agissait d’une petite entreprise. Quant au fait qu’A.________ n’ait pas eu à payer de frais sur le plan pénal, il n’a aucune incidence sur sa responsabilité d’associé gérant. En outre, dans son rapport du 6 octobre 2009, l’analyste comptable F.________ a constaté que la société était sous-capitalisée pour gérer des mandats de plusieurs centaines de milliers de francs chacun et que le risque économique était grand qu’à la moindre difficulté elle connaisse des problèmes financiers et de liquidité, malgré les crédits bancaires toujours limités. A.________ ne saurait dès lors imputer les difficultés financières de la société à la réaction des clients ou de la banque. Lui-même, tout comme ses associés, ont pris un risque financier dès la création de la société et doivent dès lors en assumer les conséquences. cc) B.________ ne saurait pas non plus se prévaloir de la répartition interne des tâches entre associés pour dégager sa responsabilité pour les motifs invoqués ci-dessus. On ajoutera qu’il n’établit pas que ses associés lui auraient refusé les renseignements qu’il leur aurait demandés. Il admet d’ailleurs une part de responsabilité puisqu’il se déclare d’accord de prendre en charge un tiers du dommage (cf. déterminations du 21 février 2013). dd) En ce qui concerne C.________, sa responsabilité est engagée comme pour ses deux autres associés, ce qu’il ne semble d’ailleurs pas contester. C’est à tort qu’il estime n’avoir à rembourser qu’un tiers du dommage, au motif que les deux autres administrateurs en sont également responsables. Comme le relève l’intimée (cf. réponse du 9 mai 2011 p. 4), lorsqu’il existe une pluralité de responsables au sens de l’art. 52 LAVS, ceux-ci répondent solidairement du dommage, c’est-à-dire que chaque responsable peut être recherché par l’intimée pour l’ensemble de la créance. Libre à lui d’intenter le cas échéant une éventuelle action récursoire contre les autres responsables du dommage. c) S’agissant de l’étendue temporelle de la responsabilité des recourants au sens de l’art. 52 LAVS, ceux-ci étaient comme rappelé ci-dessus associés gérants pendant toute la durée d’activité de la société. Partant, ils sont responsables du dommage subi par l’intimée pour l’entier de la période requise. Il existe effectivement un lien de causalité adéquate entre leur passivité dans l’exercice de leur mandat et le dommage causé par X.________ Sàrl envers l’intimée, dans la mesure où en agissant en conformité avec les prérogatives inhérentes à leur fonction au sein de la société, ils auraient pu et dû s’assurer du paiement des cotisations sociales, ou à tout le moins éviter qu’elles restent impayées en mettant en oeuvre tout ce que l’on pouvait raisonnablement attendre d’eux pour que tel ne soit pas le cas. En définitive, en violant leur obligation de veiller au paiement des cotisations sociales par X.________ Sàrl, les recourants ont commis une négligence grave, causant ainsi un dommage à l’intimée. Les conditions de leur responsabilité à l’égard de la caisse intimée sont par conséquent réalisées. d) S’agissant de l’ampleur du dommage, il n’est pas été contesté par les recourants. Au surplus, les pièces au dossier permettent de considérer comme exact le montant du dommage allégué. En particulier, la Caisse, à juste titre, a pris en compte dans le calcul de son dommage le capital dont elle se trouve frustrée au titre des cotisations paritaires AVS/Al/APG, auquel s’ajoute la perte des cotisations à l’assurance-chômage, les frais administratifs, de sommation et de poursuite encourus ainsi que les intérêts moratoires (cf. TF 9C_281/2012 du 31 août 2012 consid. 6). 3. a) Vu ce qui précède, les conclusions des recourants sont mal fondées et c’est à juste titre que la caisse a exigé auprès de chacun d’entre eux la réparation d’un dommage à hauteur de 6’318 fr. 65. Il s’ensuit que les recours doivent être rejetés et les décisions entreprises confirmées. b) En vertu du droit fédéral, la procédure est gratuite (cf. art. 61 let. a LPGA). Il n’y a pas lieu d’allouer des dépens, ni aux recourants, qui succombent (cf. art. 55 al. 1 LPA-VD et 61 let. g LPGA), ni à la Caisse,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