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562 vom 6. August 2014</w:t>
      </w:r>
    </w:p>
    <w:p>
      <w:r>
        <w:t>VD Tribunal cantonal, 2014-08-06, FR</w:t>
      </w:r>
    </w:p>
    <w:p>
      <w:r>
        <w:rPr>
          <w:b/>
        </w:rPr>
        <w:t xml:space="preserve">Quelle: </w:t>
      </w:r>
      <w:r>
        <w:t>https://mcp.opencaselaw.ch/entscheid/vd_findinfo_Arr_t___2014___562</w:t>
      </w:r>
    </w:p>
    <w:p>
      <w:r>
        <w:t>FR: VD_FINDINFO Arrêt / 2014 / 562 du 6 août 2014</w:t>
      </w:r>
    </w:p>
    <w:p>
      <w:r>
        <w:t>IT: VD_FINDINFO Arrêt / 2014 / 562 del 6 agosto 2014</w:t>
      </w:r>
    </w:p>
    <w:p>
      <w:pPr>
        <w:pStyle w:val="Heading2"/>
      </w:pPr>
      <w:r>
        <w:t>Regeste</w:t>
      </w:r>
    </w:p>
    <w:p>
      <w:r>
        <w:t>RESPONSABILITÉ DE L'EMPLOYEUR{AVS} | 52 LAVS</w:t>
      </w:r>
    </w:p>
    <w:p>
      <w:pPr>
        <w:pStyle w:val="Heading2"/>
      </w:pPr>
      <w:r>
        <w:t>Erwägungen</w:t>
      </w:r>
    </w:p>
    <w:p>
      <w:r>
        <w:rPr>
          <w:b/>
        </w:rPr>
        <w:t>E. 2</w:t>
      </w:r>
    </w:p>
    <w:p>
      <w:r>
        <w:t>Le litige porte sur la responsabilité des recourants dans le préjudice subi par la Caisse ensuite du non-paiement de cotisations sociales par la société Q.________ Sàrl, au sens de l’art. 52 LAVS. a) Aux termes de l’art. 52 al. 1 LAVS, l’employeur qui, intentionnellement ou par négligence grave, n’observe pas des prescriptions et cause ainsi un dommage à l’assurance, est tenu à réparation. La prescription entrant en considération dans le cas particulier est celle de l’art. 14 al. 1 LAVS.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Dans le domaine de l’assurance-chômage, une réglementation analogue est prévue par les art. 5 et 6 LACI (loi fédérale du 25 juin 1982 sur l’assurance-chômage obligatoire et l’indemnité en cas d’insolvabilité ; RS 837.0).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(cf. ATF 137 V 51 consid. 3 et 132 III 523 consid. 4.4). Si l’employeur est une personne morale, la responsabilité peut s’étendre, à titre subsidiaire, aux organes qui ont agi en son nom. Selon la jurisprudence, pour que l’organe soit tenu de réparer le dommage causé à la caisse de compensation en raison du non-paiement des cotisations sociales, encore faut-il, en vertu de l’art. 52 al. 1 LAVS, qu’il ait violé intentionnellement ou par une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(cf. ATF 132 III 523 consid. 4.6 et les arrêts cités).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(voir par ex. TFA H 34/04 du 15 septembre 2004 consid. 5.3.1 et les références, in SVR 2005 AHV n°</w:t>
      </w:r>
    </w:p>
    <w:p>
      <w:r>
        <w:rPr>
          <w:b/>
        </w:rPr>
        <w:t>E. 7</w:t>
      </w:r>
    </w:p>
    <w:p>
      <w:r>
        <w:t>p. 23). Dans les entreprises de petite taille et de grandeur moyenne, le devoir de surveillance concernant l’accomplissement de l’obligation légale de payer des cotisations ne saurait être abandonné à des tiers (cf. ATF 114 V 219 consid. 4). D’ailleurs, celui qui se déclare prêt à assumer ou à conserver un mandat d’administrateur, tout en sachant qu’il ne pourra pas le remplir consciencieusement, viole son obligation de diligence (voir p. ex. ATF 122 III 200 consid. 3b). L’art. 809 al. 1 CO (loi fédérale du 30 mars 1911 complétant le code civil suisse [livre cinquième : Droit des obligations] ; RS 220) prévoit que les associés exercent collectivement la gestion de la société à responsabilité limitée. Les statuts peuvent régler la gestion de manière différente, notamment la désignation de gérants. Ces derniers sont compétents pour toutes les affaires qui ne sont pas attribuées à l’assemblée des associés par la loi ou les statuts (cf.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(cf.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(cf. ATF 126 V 237 ; cf. TFA H 252/01 du 14 mai 2002, in VSI 2002 p. 176 s. consid. 3b et d ; cf. TF 9C_344/2011 du 3 décembre 2012 consid. 3.2 ; cf. Mélanie Fretz, La responsabilité selon l’art. 52 LAVS : une comparaison avec les art. 78 LPGA et 52 LPP, in HAVE/REAS 3/2009 p. 238, spéc. p. 242). b) aa) Il n’est pas contesté que des cotisations dues n’ont pas été payées, pendant la période litigieuse, et partant que la caisse de compensation intimée a subi un dommage. bb) A.________ invoque une répartition interne des tâches entre les associés, lui-même s’occupant uniquement de la planification, de la coordination et de la surveillance des chantiers. S’agissant du partage des activités entre les trois associés, il résulte des auditions de ceux-ci dans le cadre de l’enquête pénale qu’il y a effectivement eu une répartition interne des tâches. L’instruction pénale n’a toutefois pas porté sur cette question, laquelle peut rester indécise. En effet, dans l’arrêt 9C_926/2009 du 27 avril 2010 cité par le recourant (cf. déterminations du 25 avril 2013 p. 2), le Tribunal fédéral a certes considéré que les faits reprochés à une entreprise n’étaient pas nécessairement imputables à chacun des organes de celle-ci et que savoir si un organe avait commis une faute dépendait des responsabilités et des compétences qui lui ont été confiées par l’entreprise. Toutefois, s’agissant d’une société anonyme, il s’est fondé dans ce même arrêt sur l’art. 716a al. 1 CO qui énumère les attributions intransmissibles et inaliénables des membres d’un conseil d’administration pour retenir que l’administrateur avait non seulement le devoir d’assister aux séances du conseil d’administration, mais également l’obligation de se faire renseigner périodiquement sur la marche des affaires, qu’il était tenu de prendre les mesures appropriées lorsqu’il avait connaissance ou aurait dû avoir connaissance d’irrégularités commises dans la gestion de la société et que ce devoir de surveillance incombait à tous les membres du conseil d’administration, nonobstant le mode de répartition interne des tâches au sein du conseil d’administration (cf. ATF 114 V 219 consid. 4a p. 223 cité dans cet arrêt). Or l’associé gérant d’une société à responsabilité limitée a le même devoir, comme rappelé au consid. 2a ci-dessus. Ainsi, A.________, qui était associé gérant avec signature individuelle depuis la création de la société jusqu’à la liquidation de celle-ci, a fonctionné en tant qu’organe formel de la société durant cette période. En cette qualité, et ce nonobstant le mode de répartition interne des tâches au sein de la société, il avait l’obligation de veiller à la bonne gestion de cette dernière. Entre autres obligations et plus particulièrement compte tenu de la responsabilité prévue à l’art. 52 LAVS, il lui incombait de se mettre régulièrement au courant de la marche des affaires et de veiller personnellement à ce que les cotisations paritaires afférentes aux salaires versés soient effectivement payées à I’AVS conformément à l’art. 14 al. 1 LAVS. Cette obligation s’imposait d’autant plus qu’il s’agissait d’une petite entreprise. Quant au fait qu’A.________ n’ait pas eu à payer de frais sur le plan pénal, il n’a aucune incidence sur sa responsabilité d’associé gérant. En outre, dans son rapport du 6 octobre 2009, l’analyste comptable P.________ a constaté que la société était sous-capitalisée pour gérer des mandats de plusieurs centaines de milliers de francs chacun et que le risque économique était grand qu’à la moindre difficulté elle connaisse des problèmes financiers et de liquidité, malgré les crédits bancaires toujours limités. A.________ ne saurait dès lors imputer les difficultés financières de la société à la réaction des clients ou de la banque. Lui-même, tout comme ses associés, ont pris un risque financier dès la création de la société et doivent dès lors en assumer les conséquences. cc) B.________ ne saurait pas non plus se prévaloir de la répartition interne des tâches entre associés pour dégager sa responsabilité pour les motifs invoqués ci-dessus. On ajoutera qu’il n’établit pas que ses associés lui auraient refusé les renseignements qu’il leur aurait demandés. Il admet d’ailleurs une part de responsabilité puisqu’il se déclare d’accord de prendre en charge un tiers du dommage (cf. déterminations du 21 février 2013). dd) En ce qui concerne C.________, sa responsabilité est engagée comme pour ses deux autres associés, ce qu’il ne semble d’ailleurs pas contester. C’est à tort qu’il estime n’avoir à rembourser qu’un tiers du dommage, au motif que les deux autres administrateurs en sont également responsables. Comme le relève l’intimée (cf. réponse du 9 mai 2011 p. 4), lorsqu’il existe une pluralité de responsables au sens de l’art. 52 LAVS, ceux-ci répondent solidairement du dommage, c’est-à-dire que chaque responsable peut être recherché par l’intimée pour l’ensemble de la créance. Libre à lui d’intenter le cas échéant une éventuelle action récursoire contre les autres responsables du dommage. c) S’agissant de l’étendue temporelle de la responsabilité des recourants au sens de l’art. 52 LAVS, ceux-ci étaient comme rappelé ci-dessus associés gérants pendant toute la durée d’activité de la société. Partant, ils sont responsables du dommage subi par l’intimée pour l’entier de la période requise. Il existe effectivement un lien de causalité adéquate entre leur passivité dans l’exercice de leur mandat et le dommage causé par Q.________ Sàrl envers l’intimée, dans la mesure où en agissant en conformité avec les prérogatives inhérentes à leur fonction au sein de la société, ils auraient pu et dû s’assurer du paiement des cotisations sociales, ou à tout le moins éviter qu’elles restent impayées en mettant en oeuvre tout ce que l’on pouvait raisonnablement attendre d’eux pour que tel ne soit pas le cas. En définitive, en violant leur obligation de veiller au paiement des cotisations sociales par Q.________ Sàrl, les recourants ont commis une négligence grave, causant ainsi un dommage à l’intimée. Les conditions de leur responsabilité à l’égard de la caisse intimée sont par conséquent réalisées. d) S’agissant de l’ampleur du dommage, il n’est pas été contesté par les recourants. Au surplus, les pièces au dossier permettent de considérer comme exact le montant du dommage allégué. En particulier, la Caisse, à juste titre, a pris en compte dans le calcul de son dommage le capital dont elle se trouve frustrée au titre des cotisations paritaires AVS/Al/APG, auquel s’ajoute la perte des cotisations à l’assurance-chômage, les frais administratifs, de sommation et de poursuite encourus ainsi que les intérêts moratoires (cf. TF 9C_281/2012 du 31 août 2012 consid. 6). 3. a) Vu ce qui précède, les conclusions des recourants sont mal fondées et c’est à juste titre que la caisse a exigé auprès de chacun d’entre eux la réparation d’un dommage à hauteur de 40’110 fr. 40. Il s’ensuit que les recours doivent être rejetés et les décisions entreprises confirmées. b) En vertu du droit fédéral, la procédure est gratuite (cf. art. 61 let. a LPGA). Il n’y a pas lieu d’allouer des dépens, ni aux recourants, qui succombent (cf. art. 55 al. 1 LPA-VD et 61 let. g LPGA), ni à la Caisse, qui n’y a pas droit comme assureur social (cf.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