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465 vom 27. Juni 2014</w:t>
      </w:r>
    </w:p>
    <w:p>
      <w:r>
        <w:t>VD Tribunal cantonal, 2014-06-27, FR</w:t>
      </w:r>
    </w:p>
    <w:p>
      <w:r>
        <w:rPr>
          <w:b/>
        </w:rPr>
        <w:t xml:space="preserve">Quelle: </w:t>
      </w:r>
      <w:r>
        <w:t>https://mcp.opencaselaw.ch/entscheid/vd_findinfo_Arr_t___2014___465</w:t>
      </w:r>
    </w:p>
    <w:p>
      <w:r>
        <w:t>FR: VD_FINDINFO Arrêt / 2014 / 465 du 27 juin 2014</w:t>
      </w:r>
    </w:p>
    <w:p>
      <w:r>
        <w:t>IT: VD_FINDINFO Arrêt / 2014 / 465 del 27 giugno 2014</w:t>
      </w:r>
    </w:p>
    <w:p>
      <w:pPr>
        <w:pStyle w:val="Heading2"/>
      </w:pPr>
      <w:r>
        <w:t>Regeste</w:t>
      </w:r>
    </w:p>
    <w:p>
      <w:r>
        <w:t>PARTIE À LA PROCÉDURE, CURATELLE, ENQUÊTE{EN GÉNÉRAL} | 389 al. 1 ch. 1 CC, 390 al. 1 ch. 1 CC, 450 al. 2 CC</w:t>
      </w:r>
    </w:p>
    <w:p>
      <w:pPr>
        <w:pStyle w:val="Heading2"/>
      </w:pPr>
      <w:r>
        <w:t>Erwägungen</w:t>
      </w:r>
    </w:p>
    <w:p>
      <w:r>
        <w:rPr>
          <w:b/>
        </w:rPr>
        <w:t>E. 1</w:t>
      </w:r>
    </w:p>
    <w:p>
      <w:r>
        <w:t>Le recours est dirigé contre une décision de la justice de paix renonçant à instituer une curatelle de portée générale au sens des art. 390 ss CC en faveur de C.________. a )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En première instance, selon les éléments au dossier, l’intervention de la Fondation semble apparemment s’être limitée au signalement de la situation de C.________. Le signalement d’une personne en difficulté ne confère toutefois pas d’office, à son auteur, la qualité de partie à la procédure. Pour être fondé à procéder en cette qualité, il est en effet nécessaire de déposer formellement une requête tendant à ce but, démarche qui suppose l’existence d’un intérêt digne de protection (art. 14 LVPAE). En l’espèce, la Fondation n’a pas déposé de requête visant à obtenir la qualité de partie. Il n’est cependant pas nécessaire de trancher la question de savoir si elle a agi devant l’autorité de protection en cette qualité ou simplement en tant qu’autorité signalante. En effet, au sens de l’art. 450 al. 2 ch. 2 CC, peuvent être qualifiés de « proche de la personne concernée » et sont donc fondés à recourir le médecin et la personne qui se sont occupés de la personne ayant un besoin de protection et qui ne sont pas parties à la procédure (Meier/Lukic, Introduction au nouveau droit de protection de l'adulte, 2011, n. 129, pp. 58 ss ; Steck, CommFam, Protection de l’adulte, Berne 2013, n. 24 ad art. 450 CC). Conformément à l'art. 450d CC, la Chambre des curatelles donne à la justice de paix (art. 4 al. 1 LVPAE) l'occasion de prendre position (al. 1), cette autorité pouvant, au lieu de prendre position, reconsidérer sa décision (al. 2). L’autorité de protection a été consultée conformément à l’art. 450d al. 1 CC. . En l’espèce, émanant d’une personne légitimée à recourir, dûment motivé et déposé en temps utile, le recours est recevable.</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w:t>
      </w:r>
    </w:p>
    <w:p>
      <w:r>
        <w:rPr>
          <w:b/>
        </w:rPr>
        <w:t>E. 3</w:t>
      </w:r>
    </w:p>
    <w:p>
      <w:r>
        <w:t>La recourante soutient que la situation de C.________ nécessite qu’il soit placé sous curatelle de portée générale. En vertu de l’art. 390 al. 1 CC, l’autorité de protection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encore,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Introduction au nouveau droit de la protection de l'adulte, 2011, n. 397, p. 190 ; Droit de la protection de l’adulte, Guide pratique COPMA, 2012, Guide pratique COPMA, n. 5.10, p. 138). Au sens de l’art. 390 al. 1 ch. 1 CC, trois causes alternatives permettent d’instaurer une curatelle. Il s’agit de la déficience mentale, des troubles psychiques ou de tout autre état de faiblesse affectant la condition de la personne concernée. En particulier, l’expression « troubles psychiques », qui doit être comprise dans son acception large (Meier/Lukic, op. cit., n. 401, p. 191),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ou la pharmacodépendance (Meier, CommFam, Protection de l’adulte, Berne 2013, nn. 9 et 10, p. 385 ; COPMA, op. cit., n. 5.9, p. 137 ; Meier/Lukic, op. cit., nn. 400 et 401, p. 191). Aux termes de l’art. 389 al. 1 ch. 1 CC, l’autorité de protection ordonne une mesure lorsque l’appui fourni à la personne ayant besoin d’aide par les membres de sa famille, par d’autres proches ou par des services publics ne suffit pas ou semble à priori insuffisante. Les principes de proportionnalité et de subsidiarité désormais inscrits dans le nouveau droit de la protection de l’adulte (art. 389 CC) permettent de tenir compte du fragile équilibre entre l’autonomie et la protection de la personne concernée. Les besoins de la personne concernée constituent le critère essentiel qui permet à l’autorité de protection de respecter le principe de subsidiarité au sens étroit, respectivement de choisir la mesure de protection adéquate (Meier/Lukic, op. cit., nn. 377 et 382, pp. 181 et 182). Parmi les objectifs du nouveau droit de la protection de l’adulte figurent la réduction de l’intervention étatique, respectivement le renforcement de la solidarité familiale. Une mesure de protection n’est ordonnée que si l’aide dont la personne concernée a besoin ne peut être fournie par les membres de sa famille, par d’autres proches ou par des services publics ou privés. Les mesures prises par l’autorité de protection sont donc subsidiaires par rapport au soutien apporté par les proches. Toutefois, dans le cadre de sa décision, l’autorité doit prendre en considération la charge que la personne concernée représente pour ses proches et pour les tiers ainsi que son besoin de protection. Conformément au principe de proportionnalité, l’appui exigé des proches et des tiers doit rester dans des limites acceptables (Meier/Lukic, op. cit., nn. 380 et 383, pp. 182 et 183). Lorsqu’une personne a particulièrement besoin d’aide, notamment en raison d’une incapacité durable de discernement, une curatelle de portée générale est instituée (art. 398 al. 1 er ). Ce type de curatelle couvre tous les domaines de l’assistance personnelle, de la gestion du patrimoine et des rapports juridiques avec les tiers (art. 398 al. 2 CC). La personne concernée est privée de plein droit de l’exercice des droits civils (art. 398 al. 3 CC). En l'espèce, selon les éléments au dossier, C.________ semble souffrir de troubles psychiques graves qui ont nécessité de nombreuses hospitalisa-tions et qui l’empêchent d’assainir sa situation financière et administrative. Outre qu’il ne sait pas lire, il est dans l’incapacité de nommer un représentant en mesure de gérer ses affaires et de contrôler les interventions de celui-ci. En outre, il compromet ses intérêts en procédant à des démarches irréalistes telles que formuler une demande de permis de conduire, laquelle démarche, par exemple, a entraîné des frais qu’il ne peut supporter. C.________ fait aussi l'objet d'une enquête pénale, qu'il ne peut assumer seul, de même qu'il n’est pas en mesure de régler ses conditions de séjour en Suisse. L'aide des assistants sociaux qui sont en charge de sa situation a atteint ses limites, C.________ ne leur remettant pas le courrier qu'il reçoit. Démuni de proches et d’amis, C.________ ne dispose plus de l’aide de l’Y.________ depuis qu’il se trouve dans l’Unité résidentielle hospitalière de la Fondation de Nant. Sa situation paraissant ainsi avoir évolué au point que l’aide fournie par les services sociaux n’apparaît plus suffisante, il est nécessaire de lui désigner un curateur apte à le représenter afin que ses intérêts soient sauvegardés et, dans un  premier temps, que les démarches indispensables à son placement dans un EMS et au financement de celui-ci puissent être entreprises. Afin de déterminer le type de curatelle qui sera le plus à même à C.________ de lui fournir l’aide qui lui est nécessaire, il importe que la justice de paix évalue précisément ses besoins de protection et dans le cas où une curatelle de portée générale devrait être envisagée (TF 5A_843/2013 du 13 janvier 2014) – ce qui semble être le cas au vu des difficultés rencontrées par l’intéressé – qu’elle ordonne son expertise psychiatrique, étant précisé qu’elle pourrait être confiée aux mêmes experts que l’expertise pénale qui semble avoir été ordonnée à son encontre. Compte tenu de la complexité de la situation, elle veillera aussi à désigner à C.________ un curateur professionnel. En outre, compte tenu de l’urgence du placement à intervenir, elle devra examiner la nécessité de prendre sans délai une mesure de protection provisoire en sa faveur.</w:t>
      </w:r>
    </w:p>
    <w:p>
      <w:r>
        <w:rPr>
          <w:b/>
        </w:rPr>
        <w:t>E. 4</w:t>
      </w:r>
    </w:p>
    <w:p>
      <w:r>
        <w:t>En conclusion, le recours doit être admis, la décision annulée et la cause renvoyée à la Justice de paix du district de la Riviera – Pays-d’Enhaut pour nouvelle instruction et nouvelle décision dans le sens des considérants. Le présent arrêt peut être rendu sans frais (art. 74a al. 4 TFJC [Tarif du 28 septembre 2010 des frais judiciaires civils, RSV 270.11.5]). Par ces motifs, la Chambre des curatelles du Tribunal cantonal, statuant à huis clos, prononce : I. Le recours est admis. II. La décision est annulée et la cause renvoyée à la Justice de paix du district de la Riviera – Pays-d’Enhaut pour nouvelle instruction et nouvelle décision dans le sens des considérants. III. L’arrêt est rendu sans frais. IV. L'arrêt motivé est exécutoire. La présidente :              La greffière : Du 27 juin 2014 Le dispositif de l'arrêt qui précède est communiqué par écrit aux intéressés. La  greffière  : Du L'arrêt qui précède, dont la rédaction a été approuvée à huis clos, est notifié à : ‑ M. C.________, ‑ Fondation de Nant (à l’attention du Dr G.________),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