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348 vom 15. April 2014</w:t>
      </w:r>
    </w:p>
    <w:p>
      <w:r>
        <w:t>VD Tribunal cantonal, 2014-04-15, FR</w:t>
      </w:r>
    </w:p>
    <w:p>
      <w:r>
        <w:rPr>
          <w:b/>
        </w:rPr>
        <w:t xml:space="preserve">Quelle: </w:t>
      </w:r>
      <w:r>
        <w:t>https://mcp.opencaselaw.ch/entscheid/vd_findinfo_Arr_t___2014___348</w:t>
      </w:r>
    </w:p>
    <w:p>
      <w:r>
        <w:t>FR: VD_FINDINFO Arrêt / 2014 / 348 du 15 avril 2014</w:t>
      </w:r>
    </w:p>
    <w:p>
      <w:r>
        <w:t>IT: VD_FINDINFO Arrêt / 2014 / 348 del 15 aprile 2014</w:t>
      </w:r>
    </w:p>
    <w:p>
      <w:pPr>
        <w:pStyle w:val="Heading2"/>
      </w:pPr>
      <w:r>
        <w:t>Regeste</w:t>
      </w:r>
    </w:p>
    <w:p>
      <w:r>
        <w:t>CURATELLE DE REPRÉSENTATION, CURATELLE DE GESTION, REJET DE LA DEMANDE | 390 al. 1 ch. 1 CC, 394 al. 1 CC, 394 CC, 395 al. 1 CC, 395 CC, 450 CC</w:t>
      </w:r>
    </w:p>
    <w:p>
      <w:pPr>
        <w:pStyle w:val="Heading2"/>
      </w:pPr>
      <w:r>
        <w:t>Erwägungen</w:t>
      </w:r>
    </w:p>
    <w:p>
      <w:r>
        <w:rPr>
          <w:b/>
        </w:rPr>
        <w:t>E. 1</w:t>
      </w:r>
    </w:p>
    <w:p>
      <w:r>
        <w:t>Le recours est dirigé contre une décision de la justice de paix instituant une mesure de curatelle de représentation et de gestion à forme des art. 394 al. 1 et 395 al. 1 CC en faveur de D.________.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w:t>
      </w:r>
    </w:p>
    <w:p>
      <w:r>
        <w:rPr>
          <w:b/>
        </w:rPr>
        <w:t>E. 4</w:t>
      </w:r>
    </w:p>
    <w:p>
      <w:r>
        <w:t>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la décision entreprise a fait l’objet d’un premier envoi pour notification à l’attention du recourant au CPNVD le 29 janvier 2014. Or, il ressort des considérants de cette décision que l’intéressé était rentré en mai 2013 à son domicile, dont l’adresse figurait notamment sur la première page de la décision. Cette première notification, faite à une adresse erronée alors que l’autorité de protection avait connaissance de l’adresse correcte du recourant, est inefficace. La décision ayant été envoyée une seconde fois le 19 février 2014 et réceptionnée le lendemain, le délai de recours est arrivé à échéance le samedi 22 mars 2014, reporté au lundi 24 mars 2014 (cf. art. 142 al. 3 CPC, applicable par renvoi de l’art. 450f CC). Interjeté le 24 mars 2014, soit en temps utile, par l’intéressé lui-même, le recours est ainsi recevable. Il en va de même des pièces produites en deuxième instance. Le recours étant manifestement mal fondé au vu des considérations qui seront développées ci-après, la curatrice n’a pas été invitée à se déterminer (art. 312 al. 1 CPC, applicable par renvoi de l'art. 450f CC) et il a été renoncé à consulter l'autorité de protection (cf. art. 450d al. 1 CC ; Reusser, Basler Kommentar, op. cit., nn.</w:t>
      </w:r>
    </w:p>
    <w:p>
      <w:r>
        <w:rPr>
          <w:b/>
        </w:rPr>
        <w:t>E. 6</w:t>
      </w:r>
    </w:p>
    <w:p>
      <w:r>
        <w:t>ss ad art. 450d CC, pp. 657-658). 2. a) La Chambre des curatelles, qui n’est pas tenue par les moyens et les conclusions des parties, examine d’office si la décision n’est pas affectée de vices d’ordre formel. b) En l’espèce, la mesure de curatelle de représentation et de gestion litigieuse n’implique aucune restriction de l’exercice des droits civils du recourant. Il n’était dès lors pas nécessaire que l’autorité de protection ordonne la mise en œuvre d’une expertise (cf. TF 5A_843/2013 du 13 janvier 2014 c. 4.2 a contrario) et les rapports médicaux de [...] figurant au dossier sont suffisants. 3. a) Le recourant fait valoir en substance qu’en raison de l’évolution positive et notable de sa situation depuis la décision du 13 août 2013, l’institution d’une curatelle de représentation et de gestion n’est plus justifiée. Il allègue suivre un traitement ambulatoire composé de séances hebdomadaires d’ergothérapie et voir son médecin généraliste trois à quatre fois par année. Il considère être désormais en mesure de gérer sa vie et son argent. b)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Conformément à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l’alinéa 1 de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Droit de la protection de l’adulte, Guide pratique COPMA, 2012,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Protection de l’adulte, 2013, nn. 15-26 ad art. 394 CC, pp. 439-443, et n. 11 ad art. 395 CC, p. 452 ;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L’autorité de protection doit déterminer les biens sur lesquels la curatelle de gestion va porter, soit l’ensemble du patrimoine de la personne, ou tout ou partie des revenus ou de la fortune (cf. art. 395 al. 1 in fine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c) En l’espèce, le recourant a été hospitalisé d’office le 23 novembre 2012 dans un état confusionnel aigu, avec une atteinte des fonctions cognitives supérieures l’amenant à prendre des décisions contraires à ses intérêts et l’empêchant de gérer ses affaires, ainsi que de signer une procuration faute de discernement. Il a fait l’objet d’une mesure de curatelle provisoire et a séjourné à [...]. Selon le rapport du Dr B.________ du 26 avril 2013, l’état de santé du recourant était alors en progression par rapport à ses troubles cognitifs. Le patient était collaborant, adéquat dans le contact, mais occasionnellement irritable lorsqu’il se trouvait en difficulté ; il présentait encore des troubles du discours, des difficultés d’organisation et un manque de flexibilité mentale – c’est-à-dire une difficulté à se détacher de son point de vue –, ainsi que des troubles attentionnels et des problèmes de mémoire. Si quelques progrès sur les plans attentionnel et exécutif étaient observés, les séquelles restaient modérées à sévères et entravaient ses performances dans les tâches administratives, l’intéressé ne pouvant pas toujours prendre la bonne décision quant à la stratégie à utiliser ou le choix à formuler. Il était capable de gérer les actes simples et routiniers de la vie quotidienne, mais était en difficulté si les activités étaient plus complexes ou pour les activités hors domicile. Ces troubles entravaient sa capacité de gérer ses biens, ainsi qu’en partie celle de disposer de sa personne, sa gestion de la médication n’étant pas toujours correcte. Le 17 mai 2013, le recourant a pu regagner son domicile, avec l’encadrement de professionnels de la santé et l’aide de son beau-frère, nommé comme curateur provisoire, pour la gestion de ses affaires administratives. Dans son rapport du 9 août 2013, le Dr B.________ a exposé qu’à sa sortie, le recourant avait encore des difficultés exécutives, attentionnelles et mnésiques, ainsi qu’une faible conscience de ses troubles. Ces séquelles n’empêchaient pas ce dernier d’être autonome pour les actes de la vie quotidienne simples, mais il aurait des difficultés pour les activités plus complexes et nouvelles. Lors de l’audience du 13 août 2013, G.________ a notamment déclaré qu’il gérait l’ensemble des affaires du recourant et qu’il avait dû régler des retards de paiement, dont des montants importants. Au vu de ces éléments, la mesure de protection instituée en faveur de D.________ apparaît justifiée. En raison de ses difficultés exécutives, attentionnelles et mnésiques, le recourant, qui est autonome dans les actes de la vie quotidienne simples, n’est pas en mesure d’assumer la gestion de ses biens ni les tâches administratives. La mesure est en outre proportionnelle, car elle n’entraîne pas de restriction à l’exercice des droits civils du recourant. Une mesure plus légère, telle une curatelle d’accompagnement, apparaît exclue, vu l’opposition exprimée dans son recours par l’intéressé, qui n’a, à dires de médecin, qu’une faible conscience de ses troubles. De même, une limitation de la curatelle à certains domaines ne semble pas non plus envisageable, les troubles de l’intéressé affectant ses capacités dans l’entier de la gestion administrative. En outre, les éléments apportés par le recourant pour établir une évolution favorable de sa situation depuis le 13 août 2013 ne sont pas de nature à remettre en cause la décision entreprise. L’attestation de l’ergothérapeute W.________ produite en deuxième instance relève certes l’assiduité de l’intéressé aux séances et souligne que des progrès ont été constatés depuis le début de la prise en charge, le recourant organisant mieux son quotidien et prenant des initiatives (promenades, construction de petits meubles, mise en place d’un parquet dans son salon, etc.). W.________ indique cependant expressément qu’elle n’a aucun regard sur la comptabilité du recourant. Les progrès signalés concernent ainsi essentiellement les actes de la vie quotidienne, mais l’on ne saurait en déduire que le recourant a recouvré sa capacité de gestion administrative et financière. Au contraire, dans son rapport du 5 février 2014, l’ancien curateur provisoire G.________ a relevé que ses relations avec le recourant étaient difficiles depuis la sortie de celui-ci de [...], qu’il n’avait jamais pu aborder les problèmes financiers avec l’intéressé car celui-ci se fâchait et a préconisé le maintien de la mesure de protection. C’est dès lors en vain que le recourant se prévaut de l’évolution de sa situation et le recours se révèle mal fondé. 4. 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La présidente :              La greffière : Du 15 avril 2014 Le dispositif de l'arrêt qui précède est communiqué par écrit aux intéressés. La greffière : Du L'arrêt qui précède, dont la rédaction a été approuvée à huis clos, est notifié à : ‑ M. D.________, - Mme V.________,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