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34 vom 8. April 2014</w:t>
      </w:r>
    </w:p>
    <w:p>
      <w:r>
        <w:t>VD Tribunal cantonal, 2014-04-08, FR</w:t>
      </w:r>
    </w:p>
    <w:p>
      <w:r>
        <w:rPr>
          <w:b/>
        </w:rPr>
        <w:t xml:space="preserve">Quelle: </w:t>
      </w:r>
      <w:r>
        <w:t>https://mcp.opencaselaw.ch/entscheid/vd_findinfo_Arr_t___2014___34</w:t>
      </w:r>
    </w:p>
    <w:p>
      <w:r>
        <w:t>FR: VD_FINDINFO Arrêt / 2014 / 34 du 8 avril 2014</w:t>
      </w:r>
    </w:p>
    <w:p>
      <w:r>
        <w:t>IT: VD_FINDINFO Arrêt / 2014 / 34 del 8 aprile 2014</w:t>
      </w:r>
    </w:p>
    <w:p>
      <w:pPr>
        <w:pStyle w:val="Heading2"/>
      </w:pPr>
      <w:r>
        <w:t>Regeste</w:t>
      </w:r>
    </w:p>
    <w:p>
      <w:r>
        <w:t>DEGRÉ DE L'INVALIDITÉ, LOI FÉDÉRALE SUR L'ASSURANCE-INVALIDITÉ, ÉVALUATION DE L'INVALIDITÉ, DÉPRESSION, MÉDECIN, FORCE PROBANTE, ATTEINTE À LA SANTÉ PSYCHIQUE, DEGRÉ DE L'INCAPACITÉ DE TRAVAIL, INCAPACITÉ DE TRAVAIL | 28 al. 1 LAI, 4 al. 1 LAI, 57a LAI, 49 LPGA, 59 LPGA, 6 LPGA, 61 let. a LPGA, 7 LPGA, 8 LPGA</w:t>
      </w:r>
    </w:p>
    <w:p>
      <w:pPr>
        <w:pStyle w:val="Heading2"/>
      </w:pPr>
      <w:r>
        <w:t>Erwägungen</w:t>
      </w:r>
    </w:p>
    <w:p>
      <w:r>
        <w:rPr>
          <w:b/>
        </w:rPr>
        <w:t>E. 8</w:t>
      </w:r>
    </w:p>
    <w:p>
      <w:r>
        <w:t>En incapacité de travail depuis le? 15 octobre 2010 à 100%.</w:t>
      </w:r>
    </w:p>
    <w:p>
      <w:r>
        <w:rPr>
          <w:b/>
        </w:rPr>
        <w:t>E. 9</w:t>
      </w:r>
    </w:p>
    <w:p>
      <w:r>
        <w:t>En incapacité de travail depuis le : 15 octobre 2010 à : 100%</w:t>
      </w:r>
    </w:p>
    <w:p>
      <w:r>
        <w:rPr>
          <w:b/>
        </w:rPr>
        <w:t>E. 10</w:t>
      </w:r>
    </w:p>
    <w:p>
      <w:r>
        <w:t>Reprise du travail le : néant à : néant Prévue le : indéterminé ». Ce rapport précise également que le suivi du patient serait par la suite centralisé avec prise en charge psychologique et psychiatrique sur le plan cognitivo-comportemental parallèlement aux séances d’ergothérapie. Il ressort du dossier (fiche d’examen du dossier n° 2 de l’OAI) que le 20 décembre 2011, cet office a mandaté le Service médical régional de l’AI (ci-après : SMR) afin d’estimer si les renseignements médicaux concernant l’assuré étaient suffisants pour admettre une atteinte à la santé invalidante. Dans l’affirmative, le SMR devait également déterminer l’incapacité de travail de l’assuré dans son activité habituelle, respectivement dans une activité adaptée, et fixer depuis quelle date cette incapacité était présente ainsi que les limitations fonctionnelles à retenir. Ce document fait également mention du fait que le SMR avait déjà été consulté en la personne du Dr V.________, spécialiste en médecine interne générale. Il ressort notamment ce qui suit d’une note de suivi du 22 février 2012 établie par le service de réadaptation de l’OAI (ci-après : REA) pour évaluer la possibilité de mettre en place des mesures de réinsertion : « [L’assuré] se présente à l’entretien. Il a de la peine à s’orienter dans le temps et dans l’espace. Il peine à rassembler ses pensées et à parler de manière audible. Il semble très faible, abattu, sans énergie. Il pleure à plusieurs reprises durant l’entretien. Il est toujours sous traitement médicamenteux (psychotropes) et suit des ateliers d’ergothérapie et de thérapie cognitivo-comportementale à l’hôpital de [...] tous les matins sauf le lundi. Il dit que ça lui coûte beaucoup d’énergie et que ça le fatigue. C’est un ami qui l’amène tous les matins à [...] car M. D.________ ne se sent pas encore capable de prendre les transports en commun et d’affronter la foule. (…). La mise en place de MR [mesures de réinsertion] ne paraît pas envisageable pour le moment car l’état de santé ne semble pas stabilisé. » S’agissant également de la réadaptation de l’assuré, un psychologue de l’OAI s’est prononcé le 29 février 2012 de la manière suivante : « Argumentation d’octroi : Suite à notre entretien avec l’assuré le 22 février 2012, nous avons soumis la situation au SMR. Dans le journal médical, en date du 24 février 2012, le SMR estime que les MR sont impossibles actuellement et qu’il faudra envoyer un nouveau RM [rapport médical] au psychiatre traitant en juin 2012. Actuellement, la CT [capacité de travail] de notre assuré est nulle et ce depuis octobre 2010 (selon Journal Médical, 08.05.2011). (…). » Par projet de décision du 2 mars 2012, l’OAI a informé l’assuré de son intention de lui octroyer une rente d’invalidité à 100% depuis le 1 er octobre 2011, sans avoir attendu l’avis médical du SMR. A la même date, l’OAI a fixé la révision de la rente au 1 er décembre 2012. Copie de ce projet a été adressée à la Caisse de pensions A.________ qui ne s’est pas déterminée dans le délai de trente jours imparti à cet effet. Interpellées par l’OAI, les Dresses B.________ et W.________, respectivement médecin assistante et cheffe de clinique adjointe de l’Unité [...] du Service de psychiatrie [...], ont écrit ce qui suit dans un rapport médical du 29 juin 2012 (enregistré par l’OAI le 5 juillet suivant) : « Nous nous référons à votre demande du 1 er juin 2012 pour délivrer des renseignements concernant le patient susnommé en répondant à vos questions de la manière suivante. Quelle est l’évolution clinique? Depuis le début de son suivi psychiatrique à l’Unité [...] (décembre 2011), la symptomatologie dépressive de M. D.________ reste présente (agitation intérieure, fort ralentissement psychomoteur, difficultés de concentration et d’attention, thymie diminuée, insomnie, anorexie, sentiments de culpabilité, dévalorisation, perte d’espoir quant à l’avenir et idées suicidaires sans projet de passage à l’acte auto-agressif) ainsi que son anxiété sociale, qui peut déboucher sur de véritables attaques de panique et qui est associée à des conduites d’évitement, notamment lorsqu’il est en contact avec la foule et des personnes inconnues. Enfin le patient rapporte des moments d’irritabilité qui peuvent le conduire à des passages à l’acte aussi bien hétéro-agressifs (crises clastiques contre des objets, mais aussi agression de personnes) qu’auto-agressifs (coups de poing dans les murs). Son traitement psychique intégré consiste en un suivi psychothérapeutique hebdomadaire de type TCC (Mme [...], infirmière spécialisée), de restructuration cognitive, un suivi ergothérapeutique trihebdomadaire (Mme [...]) ayant pour but d’améliorer la planification et l’organisation lors de l’exécution d’une tâche, ses capacités à prendre des décisions et d’entrer en relation avec autrui, ainsi que de renforcer la confiance en soi avec la reprise d’un certain degré d’autonomie lors des séances ; un suivi psychiatrique mensuel, adjoint d’un traitement psychotrope. M. D.________ a présenté une évolution favorable sur le plan ergothérapeutique avec une progressive amélioration de la gestion du stress, notamment celui induit par les interactions interpersonnelles, de sa capacité de décision, de son intégration dans le groupe, tandis que son traitement psychotrope a nécessité plusieurs adaptations encore en cours. Actuellement, il consiste en un traitement antidépressif de [...] à raison de 20 mg par jour et de [...] SR 12,5 mg par jour en réserve. Quelles sont les limitations fonctionnelles à prendre en compte? Malgré l’amélioration par le biais des séances d’ergothérapie, le patient continue à présenter des difficultés organisationnelles invalidantes (dans les tâches, les déplacements), un important ralentissement psychomoteur et de troubles de la concentration ainsi que une fatigabilité importante. Les difficultés d’entrer en relation avec autrui sont évidentes, le patient adopte une attitude d’évitement des situations confrontantes en se bloquant et en se renfermant en lui-même. En ce qui concerne les limitations cognitives, un bilan par des tests neuropsychologiques sera envisagé prochainement. Quelle est la capacité de travail exigible dans son activité habituelle? Aucune. Quelle est la capacité de travail exigible dans une activité adaptée et depuis quand? Aucune pour l’instant. A réévaluer au plus tôt d’ici six mois, une fois l’adaptation thérapeutique, notamment médicamenteuse, terminée. » Par décision du 2 juillet 2012, l’OAI a confirmé son projet du 2 mars 2012 et a mis l’assuré au bénéfice d’une rente AI à 100% dès le 1 er août 2012. Dans le cadre de sa motivation, l’OAI a constaté que l’assuré exerçait l’activité de « technico-commercial vente interne », que pour des raisons de santé, il avait présenté un incapacité de travail ininterrompue dès le 8 octobre 2010, soit la date à partir de laquelle était fixé le délai de carence d’une année prévue par l’article 28 LAI et qu’à l’échéance de ce délai, soit le 8 octobre 2011, sa capacité de travail était toujours nulle. Par conséquent le droit à la rente était ouvert. Cette décision mentionne également qu’une seconde décision devait intervenir pour les prestations rétroactives relatives à la période allant du 1 er octobre 2011 au 31 juillet 2012. B. Par écriture du 30 août 2012, la Caisse de pensions A.________ a recouru auprès de la Cour de céans contre la décision rendue par l'OAI le 2 juillet 2012. Par courrier du 4 septembre 2012, le juge instructeur a retourné à la Caisse de pensions A.________ cette écriture aux motifs qu'elle n'avait pas été signée par deux personnes habilitées à la représenter selon le Registre du commerce et que la décision entreprise avait été produite de manière incomplète. Un délai de dix jours était accordé dès réception de ce courrier pour mettre cette écriture en conformité, faute de quoi, le recours serait réputé retiré. Par acte du 13 septembre 2012, la Caisse de pensions A.________ a déposé un recours conforme concluant sous suite de dépens à l’annulation de la décision de l'OAI du 2 juillet 2012 et au renvoi de la cause à cet office pour complément d'instruction dans le sens d'une expertise psychiatrique et neuropsychologique et nouvelle décision. A l'appui de sa position, la recourante fait tout d'abord valoir être directement atteinte par la décision entreprise en sa qualité d'assureur de D.________ contre les risques d'invalidité, dès lors que ce dernier était employé de A.________ SA jusqu’au 31 mars 2011. Sur le fond, elle relève en particulier, en rappelant la jurisprudence prévalant en matière d’appréciation des preuves médicales, une instruction insuffisante de l’état de fait médical justifiant la mise en oeuvre d’une évaluation psychiatrique et neuropsychologique indépendante et observe, en se référant à I’ATF 130 V 396 consid. 5.3. et 6, que le diagnostic d’atteinte à la santé psychique est supposé émaner d’un expert psychiatre et s’appuyer lege artis sur les critères d’un système de classification reconnu. Selon la recourante, la durée de la dépression était surprenante compte tenu du caractère généralement temporaire de cette atteinte à la santé ainsi que du jeune âge de l’assuré et les rapports médicaux ne motivaient pas la lenteur de l’amélioration de l’état de santé de l’intéressé. Par réponse du 5 novembre 2012, l'OAI s’est rallié aux conclusions de la recourante, suivant en cela un avis médical du SMR établi le 17 octobre précédent par le Dr G.________, spécialiste en chirurgie, et cosigné par le Dr L.________, spécialiste en médecine du travail. La teneur de cet avis est pour l'essentiel la suivante : « Cet employé de commerce de 31 ans dépose une demande de prestations le 28.4.2011 au motif de dépression. Le rapport du Dépt. de psychiatrie du Centre médical E.________ (12.7.2011) fait état d’un épisode dépressif sévère sans symptômes psychotiques, justifiant une incapacité de travail totale depuis le 19.10.2010. Le médecin de team (LAP) [i.e. le Dr V.________] a estimé que l’état de santé n’était pas stabilisé et [a] recommandé d’actualiser les informations en octobre 2011. L’arrêt de travail a été prolongé dans le rapport du 22.11.2011. Le 02.3.2012, l’OAl adresse un projet de décision d’octroi d’une rente entière depuis le 01.10.2011 sans que le médecin du SMR n’ait été consulté. Le 29.6.2012, on nous annonce une amélioration de l’état de santé, ne se traduisant cependant pas sur la capacité de travail, laquelle devrait être réévaluée dans 6 mois La décision de l’OAl tombe le 05.9.2012. La caisse de pension de l’employeur fait recours le même jour, argumentant que l’évolution particulièrement lente n’a pas fait l’objet des investigations souhaitables. Elle demande la mise en place d’une expertise psychiatrique. Je partage cet avis. Je réponds comme suit à vos questions : • Pouvons-nous maintenir que la capacité de travail de l’assuré est de 0% (et notamment jusqu’à la date de la décision, à savoir jusqu’au 2 juillet 2012) ? A mon avis non. • Est-ce qu’une expertise psychiatrique devrait être proposée à la Cour des assurances sociales ? Oui. » Par réponse du 29 novembre 2012, D.________, par l'intermédiaire de son conseil, Me Jean-Marie Agier, avocat, a conclu au rejet du recours sous suite de frais et dépens. Il relève l’exhaustivité et la crédibilité de l’instruction médicale de l’OAI, ne légitimant pas en l’occurrence la mise en oeuvre d’une expertise par l’autorité administrative, d’autant que l’exception jurisprudentielle imposant la mise en oeuvre d’une expertise psychiatrique en matière de troubles somatoformes douloureux n’est pas réalisée. Par ailleurs, il rappelle le principe de la révision de la rente. Par déterminations du 25 février 2013, l'OAI a confirmé sa position du 5 novembre 2012. C. Par décision du 3 septembre 2012, l’OAI a rendu une seconde décision d’octroi de rente à 100% au bénéfice de l’assuré pour la période allant du 1 er octobre 2011 au 31 juillet 2012. E n  d r o i t  : 1. a) Les dispositions de la LPGA (loi fédérale du 6 octobre 2000 sur la partie générale du droit des assurances sociales ; RS 830.1) s’appliquent à l'assurance invalidité, à moins que la LAI (loi fédérale du 19 juin 1959 sur l'assurance-invalidité ;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instituée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l’assurance-invalidité (art. 49 al. 4 et 59 LPGA) qui statue sur le droit à la rente ou fixe le degré d’invalidité de la personne assurée (ATF 133 V 67 consid. 4.3.2 p. 69 ;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9C_620/2012 du 16 octobre 2012 consid. 2.3). En l’occurrence, il a lieu de reconnaître à la Caisse de pensions A.________ la qualité pour recourir. En effet on constatera que D.________ était valablement assuré auprès de cette caisse lors de la survenance de son incapacité de travail en octobre 2010 et que dans la mesure où les constatations et appréciations de l’OAI sont susceptibles d’être contraignantes à l’égard de la recourante s’agissant du droit à la rente, celle-ci a qualité pour agir. d) En définitive, le présent recours, interjeté en temps utile compte tenu des féries estivales (art. 38 al. 4 LPGA) auprès du tribunal compétent et respectant pour le surplus les autres conditions de forme prévues par la loi (art. 61 let. b LPGA notamment) est recevable, de sorte qu’il y a lieu de se prononcer sur le fond. 2. a) En l’occurrence, le litige porte sur l’octroi d’une rente AI à l’assuré, plus particulièrement sur la question de savoir si la détermination du degré d’invalidité est suffisamment documentée sur le plan médical. b)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(TF 9C_167/2013 du 24 avril 2013 consid. 3 ; ATF 131 V 242 consid. 2.1 p. 243 ; 121 V 362 consid. 1b p. 366). Toutefois, un avis médical, même rendu postérieurement à une décision, doit être pris en compte s'il permet d'apprécier les circonstances au moment où celle-ci a été prononcée (ATF 99 V 98 consid. 4 p. 102 ; TF 9C_105/2008 du 23 juin 2008 consid. 2.2). En l’occurrence, il convient de déterminer si le rapport médical des Dresses B.________ et W.________ du 29 juin 2012 peut être pris en compte dans le cadre du présent litige, ce dernier ayant été enregistré par l’OAI le 5 juillet 2012, soit postérieurement à la décision litigieuse. En l’occurrence, le rapport porte sur la période de traitement entre décembre 2011 et juin 2012, soit sur l’évolution de l’état de santé de l’assuré avant la décision litigieuse. En conséquence, il est admissible de se référer également à cette appréciation médicale. 3. 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V201 consid. 7.1.1 p. 211 ; 102 V 165 ; cf. aussi ATF 127 V294 consid. 4c p. 298 ; TF 9G_776/2009 du 11 juin 2010 consid. 2.1). d)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(ATF 125 V 256 consid. 4 ; TF 9G_519/2008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RGG 1980 p. 263 ; Pratique VSI 2002 p. 64 ; TF I 312/06 du 29 juin 2007 consid. 2.3 et les arrêts cités ; I 778/05 du</w:t>
      </w:r>
    </w:p>
    <w:p>
      <w:r>
        <w:rPr>
          <w:b/>
        </w:rPr>
        <w:t>E. 11</w:t>
      </w:r>
    </w:p>
    <w:p>
      <w:r>
        <w:t>janvier 2007 consid. 6.1).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ses conclusions soient bien motivées. Au demeurant, l’élément déterminant, pour la valeur probante, n’est ni l’origine du moyen de preuve, ni sa désignation comme rapport ou comme expertise, mais bel et bien son contenu (ATF 134 V 231 consid. 5 ; 125 V 351 consid. 3a et la référence citée). Les constatations émanant de médecins consultés par la personne assurée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4. a) Le degré d’invalidité de l’assuré a certes été déterminé exclusivement sur la base des rapports successifs de ses médecins psychiatres traitants. Cependant, ces rapports ne suscitent aucune réserve quant à la fiabilité et à la pertinence des constatations émises par les médecins traitants. En effet, les cinq rapports médicaux au dossier établis respectivement les 7 février 2011, 31 mai 2011, 8 août 2011, 16-17 novembre 2011, ainsi que le 22 novembre 2011 par le Dr R.________ et ses supérieurs répondent aux réquisits jurisprudentiels en matière de valeur probante. On soulignera en effet que les médecins en charge de l’assuré ont fait état d’une anamnèse précise (cf. rapports des 31 mai 2011 et 16-17 novembre 2011). Ils ont également procédé à l’évaluation de l’état de santé psychique de l’assuré durant plus d’une année sur la base d’un suivi psychiatrique et psychologique régulier ainsi qu’en se fondant sur un suivi ergothérapeutique très conséquent. Les plaintes du patient sont rapportées exhaustivement et ne contredisent pas les constatations cliniques. Les médecins ont de plus procédé à des examens somatiques pour exclure toute atteinte organique à l’origine des troubles constatés. Sur le plan diagnostic, on notera que la description des troubles correspond à la symptomatologie figurant dans la CIM-10 en relation avec l’épisode dépressif sévère sans symptômes psychotiques et que le score à l’échelle de dépression de Hamilton confirme le diagnostic d’une part et le caractère lentement progressif de l’évolution d’autre part. Plus particulièrement le score baisse de 26 à 24 entre le début du traitement et le mois de novembre 2011. On soulignera de plus que ces rapports sont circonstanciés, exhaustifs, clairs et cohérents les uns par rapport aux autres, de sorte que leurs conclusions concordantes sont ainsi convaincantes. En outre, il n’existe pas de contradiction entre les observations cliniques des médecins et les observations factuelles des collaborateurs de l’OAI, en l’espèce, celles relevées par la spécialiste en réinsertion professionnelle dans son rapport du 2 août 2011 et par l’auteur du rapport du 22 février 2012 du service de réadaptation. Tous deux évoquent en effet chez l’assuré un état s’apparentant à un épisode dépressif. On relèvera enfin que le SMR, consulté en cours de procédure administrative ne contestait pas en février 2012 l’évaluation du Dr R.________ et de ses supérieurs relative à l’état de santé de l’assuré. En effet, l’auteur du rapport du 29 février 2012, au demeurant psychologue, se réfère expressément à une annotation du journal médical portée en date du 24 février 2012 par le SMR. Ce service estimait alors impossibles les mesures de réadaptation. Il convient de déduire de cette appréciation que le SMR considérait la capacité de travail de l’assuré comme nulle. b) A cela s’ajoute que dans le cas particulier, le médecin traitant de l’assuré n’a pas apprécié seul l’état de santé de son patient mais sous le contrôle et la supervision d’un autre médecin, plus expérimenté, en l’occurrence une cheffe de clinique adjointe (Dresse J.________) ou un médecin associé (Dr H.________). Ce double regard sur la situation d’un patient est garant d’une certaine objectivité. Par ailleurs, les médecins psychiatres traitants de l’assuré depuis décembre 2011, les Dresses B.________ et W.________, confirment dans leur rapport du 29 juin 2012, motifs à l’appui, l’appréciation de leurs confrères précédemment en charge du traitement de l’assuré. A l’inverse, l’avis du SMR du 24 octobre 2012 n’est pas motivé; notamment il n’explique pas pourquoi l’évolution de l’état de santé de l’assuré serait anormalement lente, ni pourquoi la capacité de travail ne serait pas nulle. c) Cela étant, la valeur probante des rapports des médecins traitants de l’assuré ne saurait être remise en question. d) La recourante se prévaut de la jurisprudence, plus particulièrement de l’ATF 130 V 396 consid. 5.3. et 6, pour soutenir qu’une expertise psychiatrique est en l’occurrence indispensable. Or, dans cet arrêt, le Tribunal fédéral a considéré que la reconnaissance de l’existence d’une atteinte à la santé psychique au sens de la LAI et de la LPGA suppose en principe la présence d’un diagnostic émanant d’un expert (psychiatre) et s’appuyant lege artis sur les critères d’un système de classification reconnu (ATF 130 V 398 consid. 5.3 et 6 ; TF I 81/07 du 8 janvier 2008 consid. 3.2). Le Tribunal fédéral a certes conféré un caractère impératif à l’expertise psychiatrique mais en l’occurrence ce caractère impératif se rapporte à l’hypothèse d’un diagnostic de troubles somatoformes douloureux. Or, ce diagnostic n’a ni été posé, ni même évoqué dans le cas d’espèce. A cela s’ajoute que l’élément déterminant pour la valeur probante en matière médicale réside dans le contenu et non dans la dénomination du moyen de preuve (cf. consid. 3d ci-dessus). En l’occurrence, les qualités intrinsèques des rapports des médecins traitants, de surcroît psychiatres, de l’assuré sont telles qu’une expertise psychiatrique ne se justifie pas. e) Enfin, la recourante s’étonne de la durée de l’incapacité de travail de l’assuré au motif notamment que la dépression serait une affection temporaire. La recourante perd néanmoins de vue que cette atteinte peut devenir chronique. Par ailleurs, dans l’hypothèse d’une constance de l’état dépressif de l’assuré tant sous l’angle de la gravité que de la durée qui ne serait pas objectivée, la prochaine révision fixée par l’OAI en décembre 2012 déjà garantit à la recourante un réexamen de l’état de santé de l’assuré à brève échéance. 5. a) Cela étant, le recours de la Caisse de pensions A.________, mal fondé, doit être rejeté et la décision de l’OAI du 2 juillet 2012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c) D.________, assisté d'un mandataire professionnel pour la défense de ses intérêts, a droit à des dépens qu’il convient d’arrêter à 1’500 fr. à la charge de la recourante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