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294 vom 1. Juli 2014</w:t>
      </w:r>
    </w:p>
    <w:p>
      <w:r>
        <w:t>VD Tribunal cantonal, 2014-07-01, FR</w:t>
      </w:r>
    </w:p>
    <w:p>
      <w:r>
        <w:rPr>
          <w:b/>
        </w:rPr>
        <w:t xml:space="preserve">Quelle: </w:t>
      </w:r>
      <w:r>
        <w:t>https://mcp.opencaselaw.ch/entscheid/vd_findinfo_Arr_t___2014___294</w:t>
      </w:r>
    </w:p>
    <w:p>
      <w:r>
        <w:t>FR: VD_FINDINFO Arrêt / 2014 / 294 du 1 juillet 2014</w:t>
      </w:r>
    </w:p>
    <w:p>
      <w:r>
        <w:t>IT: VD_FINDINFO Arrêt / 2014 / 294 del 1 luglio 2014</w:t>
      </w:r>
    </w:p>
    <w:p>
      <w:pPr>
        <w:pStyle w:val="Heading2"/>
      </w:pPr>
      <w:r>
        <w:t>Regeste</w:t>
      </w:r>
    </w:p>
    <w:p>
      <w:r>
        <w:t>ÉVALUATION DE L'INCAPACITÉ DE TRAVAIL, FORCE PROBANTE, ÉVALUATION DE L'INVALIDITÉ, APPRÉCIATION ANTICIPÉE DES PREUVES | 28 LAI, 16 LPGA, 6 LPGA, 7 LPGA, 8 LPGA</w:t>
      </w:r>
    </w:p>
    <w:p>
      <w:pPr>
        <w:pStyle w:val="Heading2"/>
      </w:pPr>
      <w:r>
        <w:t>Erwägungen</w:t>
      </w:r>
    </w:p>
    <w:p>
      <w:r>
        <w:rPr>
          <w:b/>
        </w:rPr>
        <w:t>E. 7</w:t>
      </w:r>
    </w:p>
    <w:p>
      <w:r>
        <w:t>a) Il résulte de ce qui précède que le recours, mal fondé, doit être rejeté et la décision attaquée confirmée. La requête d'expertise judiciaire doit également être rejetée (cf. supra consid. 5).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