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246 vom 3. April 2014</w:t>
      </w:r>
    </w:p>
    <w:p>
      <w:r>
        <w:t>VD Tribunal cantonal, 2014-04-03, FR</w:t>
      </w:r>
    </w:p>
    <w:p>
      <w:r>
        <w:rPr>
          <w:b/>
        </w:rPr>
        <w:t xml:space="preserve">Quelle: </w:t>
      </w:r>
      <w:r>
        <w:t>https://mcp.opencaselaw.ch/entscheid/vd_findinfo_Arr_t___2014___246</w:t>
      </w:r>
    </w:p>
    <w:p>
      <w:r>
        <w:t>FR: VD_FINDINFO Arrêt / 2014 / 246 du 3 avril 2014</w:t>
      </w:r>
    </w:p>
    <w:p>
      <w:r>
        <w:t>IT: VD_FINDINFO Arrêt / 2014 / 246 del 3 aprile 2014</w:t>
      </w:r>
    </w:p>
    <w:p>
      <w:pPr>
        <w:pStyle w:val="Heading2"/>
      </w:pPr>
      <w:r>
        <w:t>Regeste</w:t>
      </w:r>
    </w:p>
    <w:p>
      <w:r>
        <w:t>FORCE PROBANTE, AFFECTION PSYCHIQUE, ACCIDENT PROFESSIONNEL, DEGRÉ DE L'INVALIDITÉ, RENTE D'INVALIDITÉ, COMPARAISON DES REVENUS | 16 LPGA, 17 LPGA, 88a RAI</w:t>
      </w:r>
    </w:p>
    <w:p>
      <w:pPr>
        <w:pStyle w:val="Heading2"/>
      </w:pPr>
      <w:r>
        <w:t>Erwägungen</w:t>
      </w:r>
    </w:p>
    <w:p>
      <w:r>
        <w:rPr>
          <w:b/>
        </w:rPr>
        <w:t>E. 3</w:t>
      </w:r>
    </w:p>
    <w:p>
      <w:r>
        <w:t>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Par conséquent, le droit à la rente doit être examiné après le 1 er janvier 2003, respectivement le 1 er janvier 2004, en fonction des nouvelles normes de la LPGA et des modifications de la LAI consécutives à la 4 e révision de cette loi, en vigueur jusqu’au 31 décembre 2007 (cf. au surplus pour le droit transitoire : TF 8C_254/2010 du 15 septembre 2010 consid. 2; ATF 132 V 215 consid. 3.1.1; ATF 130 V 445). En tout état de cause, les principes développés jusqu’à ce jour par la jurisprudence en matière d’évaluation de l’invalidité conservent leur pertinence, quelle que soit la version de la loi sous laquelle ils ont été posés.</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aLAI, l’assuré a droit à une rente entière s’il est invalide à 66 ⅔% au moins, à une demie-rente s’il est invalide à 50% au moins, ou à un quart de rente s’il est invalide à 40 % au moins.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TF 8C_15/2009 du 11 janvier 2010 consid. 3.2).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(TF 9C_12/2012 du 20 juillet 2012 consid. 7.1 et les références citées).</w:t>
      </w:r>
    </w:p>
    <w:p>
      <w:r>
        <w:rPr>
          <w:b/>
        </w:rPr>
        <w:t>E. 5</w:t>
      </w:r>
    </w:p>
    <w:p>
      <w:r>
        <w:t>a)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b)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c)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w:t>
      </w:r>
    </w:p>
    <w:p>
      <w:r>
        <w:rPr>
          <w:b/>
        </w:rPr>
        <w:t>E. 6</w:t>
      </w:r>
    </w:p>
    <w:p>
      <w:r>
        <w:t>Dans un premier moyen, le recourant critique la valeur probante de l’expertise psychiatrique du Q._________, il observe qu’une expertise pluridisciplinaire aurait dû être mise en œuvre laquelle aurait permis de définir l’exigibilité en tenant compte de l’ensemble des atteintes somatiques et psychiques dont il souffre. a) En l’occurrence, il s’avère que seule l’affection aux deux poignets a motivé le dépôt d’une demande de prestations AI et l’octroi d’une rente entière. Le recourant a été victime d’un accident professionnel le 26 juin 2001 qui a entraîné une dissociation scapho-lunaire majeure aux deux poignets. Il a bénéficié d’une reconstruction ligamentaire scapho-lunaire au poignet droit le 6 septembre 2001 et au poignet gauche le 21 mars 2002, ainsi qu’une ablation des broches le 14 mai 2002. Il n’est pas contesté que le recourant n’est plus en mesure de reprendre l’activité habituelle de monteur-électricien compte tenu des atteintes aux deux poignets. D’un point de vue médico-théorique, le SMR s’est référé à des activités légères, excluant le port de charges de plus de 5 kg, les travaux répétitifs au niveau des deux membres supérieurs et les mouvements contre résistance (rapport du 11 novembre 2003). Il a dès lors considéré que le recourant ne présentait pas de réduction de sa capacité de travail (que ce soit en temps ou en rendement) et ce, dès janvier 2003 (date du rapport du Dr W.________ du 30 janvier 2003). Cet avis est partagé par le Dr W.________ qui a admis qu’une activité sans sollicitation nouvelle (lourde ou répétitive) était envisageable (rapport du 30 janvier 2003). Le Dr F.________, quant à lui, a finalement considéré dans son appréciation médicale du 19 août 2003 relative à l’exigibilité que le recourant était en mesure de reprendre une activité ne nécessitant pas de port de charges lourdes, de force au niveau des deux mains et ce, dans le cadre d’un horaire normal de travail avec un rendement de 100%. Il a toutefois précisé que le port de charges ne pouvait excéder 3 kg (appréciation médicale du 14 août 2003), précision à laquelle s’est rallié l’intimé dans le cadre de sa duplique du 7 avril 2011, compte tenu de l’arrêt rendu par la Cour des assurances sociales du Tribunal cantonal le 1 er novembre 2010 cité plus haut et que le recourant n’a pas contesté. Dans son recours, l’assuré estime qu’il convient de tenir compte d’autres pathologies somatiques, argument qui n’emporte toutefois pas la conviction de l’autorité de céans. En effet, le Dr K.________, médecin traitant de l’assuré, n’a retenu aucun diagnostic avec effet sur la capacité de travail de son patient, précisant tout au plus que les diagnostics de diabète et d’asthme n’avaient aucune influence sur sa capacité de travail (rapport médical du 17 mars 2008). Le Dr H.________, pneumologue, a exposé qu’une activité ne demandant pas d’effort physique pouvait être raisonnablement exigée sans restriction, les activités physiques dans un environnement poussiéreux avec exposition au froid ou au chaud devant être évitées (courrier du 11 juillet 2007). Quant au syndrome d’apnées du sommeil, le Dr I.________ du SMR a indiqué qu’au vu des valeurs mesurées, les restrictions étaient quasiment inexistantes, seuls les métiers comme pilote de ligne ou chauffeur de car pouvant provoquer des risques pour la collectivité publique, professions qui ne sauraient toutefois être considérées en l’espèce comme des activités adaptées (note interne de l’OAI du 20 septembre 2006). Dans le cadre de son recours, l’assuré a allégué qu’il souffrait de douleurs lombaires, argument qui doit être écarté en l’absence de tout document médical attestant une quelconque incapacité de travail pour ce motif. Le recourant ne présente dès lors pas d’atteinte physique invalidante autre que celle attestée aux deux poignets, raison pour laquelle un complément d’expertise sur ce point se révèle superflu. b) Le recourant invoque enfin l’existence d’une pathologie psychiatrique. Il ressort du dossier qu’après un suivi de février à juin 2000, puis une reprise de contact en mars 2006, l’assuré a bénéficié d’un suivi régulier depuis février 2007 auprès de l’Y._________ de [...], puis auprès de la Dresse J.________ depuis le 1 er octobre 2009. Dans un premier temps, l’Y._________ a posé les diagnostics d’état de stress post-traumatique et de trouble dépressif récurrent, épisode dépressif moyen avec syndrome somatique (rapport du 6 août 2008). Puis, après avoir pris connaissance de l’avis médical du SMR du 3 novembre 2008, l’Y._________ a retenu les diagnostics de trouble dépressif récurrent, épisode moyen et de modification durable de la personnalité développés progressivement depuis un accident de travail survenu le 26 juin 2001 (rapport du 23 mars 2009). Dans son rapport d’expertise du 2 novembre 2009, le Dr M.________ a expliqué pour quels motifs il ne pouvait retenir les diagnostics précités, après avoir pris connaissance des rapports de l’Y._________ des 6 août 2008 et 23 mars 2009. Il a ainsi constaté que le recourant reconnaissait lui-même que l’accident en soi avait été banal et qu’à aucun moment, il n’avait eu peur pour son intégrité physique. Il n’avait pas non plus développé par la suite de symptômes typiques d’un état de stress post-traumatique, diagnostic finalement posé six ans après l’événement traumatique, en l’absence d’éléments dans ce sens dans les rapports antérieurs des différents intervenants. L’expert a dès lors exclu le diagnostic de syndrome de stress post-traumatique. En outre, s’il a clairement relevé l’accentuation de certains traits de personnalité, principalement narcissiques, il a toutefois conclu qu’ils ne constituaient pas un trouble. Il a également relevé que l’on pouvait attendre du recourant qu’il fasse un effort pour effectuer les tâches que les somaticiens estimaient possibles. A ce propos, il a rappelé que le recourant s’était toujours occupé de son hygiène, de ses affaires administratives et de ses besoins. II n’avait en outre pas montré de difficultés relationnelles au cours de ses stages, ni lors de l’entretien avec l’expert, ce qui confortait la notion que les difficultés qu’il rencontrait (isolement, sentiment de honte) n’étaient pas suffisantes pour poser un diagnostic de trouble de personnalité, selon la CIM-10. S’agissant du trouble dépressif, l’expert a rappelé que l’intensité avait été qualifiée de moyenne par les intervenants, ce qui n’était pas nécessairement incompatible avec un travail. L’expert a toutefois conclu à la présence d’un épisode dépressif léger compte tenu de l’observation clinique montrant une humeur triste, mais pas effondrée, sans idées noires, ni idées suicidaires, ni troubles de l’attention-concentration, ni troubles de la mémoire. L’expert a toutefois conclu que ce diagnostic ne permettait pas la reconnaissance d’une incapacité de travail. Le rapport d’expertise psychiatrique du 2 novembre 2009 du Dr M.________ repose sur des examens complets et son contenu répond en tous points aux exigences de la jurisprudence en ce qui concerne la valeur probante des expertises médicales (ATF 134 V 231 et 125 V 351). Les conclusions de l’expert se fondent sur un entretien avec le recourant, sur l’ensemble du dossier de l’intimé, y compris les rapports médicaux des psychiatres traitants. L’expert a également décrit et pris en considération les plaintes exprimées par le recourant. Les raisons pour lesquelles des signes dépressifs d’un degré léger selon la terminologie de la CIM-10, sont les mieux à même de décrire la psychopathologie du recourant, ont fait l’objet d’une démonstration convaincante. Il en va de même des raisons pour lesquelles l’expert considère que l’on peut écarter d’autres troubles psychiatriques et en particulier un état de stress post-traumatique, ainsi qu’une modification durable de la personnalité. A cet égard, le recourant semble méconnaître le fait que la fixation de la gravité d’un trouble dépressif ou d’un trouble de la personnalité par exemple, ainsi que leur évolution est, par essence, toujours le fruit de l’exercice du pouvoir d’appréciation. C’est ainsi que le caractère fiable de constatations psychiatriques est très limité, en particulier lorsque les diagnostics portent sur des troubles dépressifs mis en évidence par des médecins traitants ou lors de situations de crise. Il s’ensuit que la mise en œuvre d’une nouvelle expertise psychiatrique ne serait justifiée que dans l’éventualité où l’appréciation des médecins de l’Y._________ ou de la Dresse J.________ devait contenir des éléments objectifs mettant en doute les conclusions de l’expert M.________ quant aux répercussions des troubles présentés sur la capacité de travail du recourant, ce qui n’est pas le cas en l’occurrence. En effet, les rapports de l’Y._________ du 9 juillet 2010 et de la Dresse J.________ du 7 mars 2011 ne sont pas suffisamment pertinents pour remettre en cause les conclusions de l’expert, la Dresse J.________ n’étant au demeurant pas une spécialiste en psychiatrie (cf. rapport de la Dresse J.________ du 7 mars 2011). Quant aux médecins de l’Y._________, ils ont de manière constante fait état du diagnostic de modification durable de la personnalité (rapports des 23 mars 2009 et 9 juillet 2010), y compris à l’époque de l’expertise psychiatrique du recourant par le Q._________, lequel a clairement expliqué les motifs pour lesquels un tel diagnostic ne pouvait être retenu. c) Au vu des éléments précités, l’intimé était dès lors fondé à conclure que le recourant était en mesure d’exercer une activité adaptée dès le mois de janvier 2003, après avoir présenté une totale incapacité de travail dans toute activité dès le 26 juin 2001 justifiant l’octroi d’une rente entière d’invalidité dès le 1 er juin 2002.</w:t>
      </w:r>
    </w:p>
    <w:p>
      <w:r>
        <w:rPr>
          <w:b/>
        </w:rPr>
        <w:t>E. 7</w:t>
      </w:r>
    </w:p>
    <w:p>
      <w:r>
        <w:t>Il convient dès lors d’examiner l’incidence de ce changement dans la capacité de travail du recourant sur le taux d’invalidité qu’il présente, à savoir une pleine capacité de travail dans une activité adaptée à ses limitations fonctionnelles. En d’autres termes, il s’agit de déterminer la perte de gain que subirait le recourant dans l’exercice d’une activité médicalement exigible. La comparaison doit se faire au regard de la situation prévalant en janvier 2003, dès lors que l’amélioration de la capacité de travail remonte à cette période (ATF 129 V 233 consid. 4.2 ; art. 88a al. 1 RAI).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pp. 205 et 206). b) In casu, en tant que le recourant critique le montant du revenu sans invalidité retenu par l’intimé, le grief doit être écarté. Il ressort du questionnaire complété par l’employeur le 7 mars 2003, que le recourant aurait perçu en 2003 en qualité de monteur-électricien un salaire de 4’175 fr. versé 13 fois l’an. C’est dès lors à juste titre que l’intimé a fixé le revenu que le recourant aurait pu réaliser sans invalidité à 54’275 francs. Ce montant est inférieur à celui finalement retenu par la CNA (57’000 fr.), laquelle a procédé à la comparaison des revenus en 2006. Cette différence n’a toutefois aucune influence sur le droit à la rente. c) Pour déterminer le revenu d’invalide du recourant, il convient en l’absence d’un revenu effectivement réalisé de tenir compte de l’activité de substitution que pourrait exercer l’assuré, le salaire de référence étant celui auquel peuvent prétendre les hommes effectuant des activités simples et répétitives (niveau 4) dans le secteur privé, à savoir 54’684 fr. par année (ATF 124 V 321; ESS 2002, TA1, p. 43). Comme les salaires bruts standardisés tiennent compte d’un horaire de travail de 40 heures, soit une durée hebdomadaire inférieure à la moyenne usuelle dans les entreprises en 2003 (41,7 heures; La Vie économique, 9-2005, p. 90, B9.2), ce montant doit être porté à 57’008 fr. 05. Après adaptation de ce chiffre à l’évolution des salaires selon l’indice des salaires nominaux pour les hommes de l’année 2003 (1,4 %; La Vie économique, 9-2005, p. 91, B10.2), on obtient un revenu annuel de 57’806 fr. 20. Compte tenu des circonstances personnelles et professionnelles du cas particulier, l’abattement de 15% retenu par l’intimé paraît approprié, si bien que le gain annuel d’invalide se monte à 49’135 fr. 30. L’intimé est parvenu à un montant quasi identique, soit de 49’084 fr. 20, hypothèse plus favorable au recourant. Il s’ensuit que la comparaison des revenus aboutit, dans l’hypothèse la plus favorable au recourant, à un taux d’invalidité de 9,56% arrondi à 10% (ATF 130 V 121), soit à un taux inférieur à la limite de 40% ouvrant droit à un quart de rente (cf. art. 28 al. 1 aLAI). Au demeurant, même en appliquant l’abattement maximum de 25% admis par la jurisprudence (ATF 126 V 75), le degré d’invalidité, arrondi, se monterait à 20% et n’ouvrirait donc aucun droit à une rente.</w:t>
      </w:r>
    </w:p>
    <w:p>
      <w:r>
        <w:rPr>
          <w:b/>
        </w:rPr>
        <w:t>E. 8</w:t>
      </w:r>
    </w:p>
    <w:p>
      <w:r>
        <w:t>Le recourant considère qu’il ne peut concrètement pas exploiter sa capacité résiduelle de travail sur le marché du travail et reproche dès lors à l’intimé de ne pas avoir suivi les conclusions du rapport du 22 mars 2006 de la REA, laquelle a conclu à l’absence de capacité de gain tant dans l’économie qu’en milieu protégé.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b) Compte tenu des limitations fonctionnelles présentées par le recourant (pas de travaux répétitifs au niveau des deux membres supérieurs, ni de port de charges de plus de 3 kg, ni de mouvements contre résistance), on doit admettre que les activités simples de surveillance, de vérification ou de contrôle ou d’autres activités consistant à approvisionner et à surveiller des machines ou des unités de production automatiques ou semi-automatiques, telles que décrites par l’intimé sont compatibles avec son handicap (courrier du 31 mai 2010 de l’OAI au recourant). En tenant compte du large éventail d’activités simples et répétitives ne nécessitant pas de formation dans les secteurs de la production et des services, les possibilités d’un emploi adapté aux limitations du recourant apparaissent suffisantes pour admettre qu’il puisse mettre en valeur sa capacité résiduelle de travail sur le plan économique. Il est vrai que suite à l’échec de la formation en bureautique, une conseillère en réadaptation a estimé – dans le cadre d’un rapport du 22 mars 2006 relatif à l’accessibilité du recourant à une formation intellectuelle – que ce dernier n’était plus en mesure d’exercer une activité lucrative dans l’économie. Ce point de vue s’est avéré incomplet, le recourant étant capable d’utiliser ses mains en respectant les limitations décrites tant par le SMR que le Dr F.________. En définitive, la Cour de céans ne saurait dès lors fonder son jugement sur le travail que le recourant s’estime capable de fournir, mais bien sur celui qui est objectivement compatible avec son état de santé, tel qu’il ressort des rapports médicaux ayant valeur probante. Enfin,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w:t>
      </w:r>
    </w:p>
    <w:p>
      <w:r>
        <w:rPr>
          <w:b/>
        </w:rPr>
        <w:t>E. 9</w:t>
      </w:r>
    </w:p>
    <w:p>
      <w:r>
        <w:t>Ainsi, au regard de la jurisprudence exposée ci-dessus, les griefs développés par le recourant à l’appui de son recours ne permettent pas d’établir une violation du droit fédéral. La décision attaquée n’est, par conséquent, pas critiquable dans son résultat et doit être confirmée, ce qui conduit au rejet du recours. En conséquence, c’est à juste titre que l’intimé a octroyé une rente entière d’invalidité dès le 1 er juin 2002 (soit à l’issue du délai d’attente d’un an) et uniquement jusqu’au 3 novembre 2004 (soit trois mois après le début du versement des indemnités journalières lors du stage d’observation au CIP; solution favorable au recourant, le SMR ayant fixé la reconnaissance d’une pleine capacité de travail dans une activité adaptée au mois de janvier 2003), la rente étant réduite durant la période de versement de l’indemnité journalière AI conformément à l’art. 47 LAI.</w:t>
      </w:r>
    </w:p>
    <w:p>
      <w:r>
        <w:rPr>
          <w:b/>
        </w:rPr>
        <w:t>E. 10</w:t>
      </w:r>
    </w:p>
    <w:p>
      <w:r>
        <w:t>Il reste à statuer sur les frais et dépens (art. 91 LPA-VD, applicable par renvoi de l’art. 99 LPA-VD).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b) Il n’y a pas lieu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