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245 vom 21. März 2014</w:t>
      </w:r>
    </w:p>
    <w:p>
      <w:r>
        <w:t>VD Tribunal cantonal, 2014-03-21, FR</w:t>
      </w:r>
    </w:p>
    <w:p>
      <w:r>
        <w:rPr>
          <w:b/>
        </w:rPr>
        <w:t xml:space="preserve">Quelle: </w:t>
      </w:r>
      <w:r>
        <w:t>https://mcp.opencaselaw.ch/entscheid/vd_findinfo_Arr_t___2014___245</w:t>
      </w:r>
    </w:p>
    <w:p>
      <w:r>
        <w:t>FR: VD_FINDINFO Arrêt / 2014 / 245 du 21 mars 2014</w:t>
      </w:r>
    </w:p>
    <w:p>
      <w:r>
        <w:t>IT: VD_FINDINFO Arrêt / 2014 / 245 del 21 marzo 2014</w:t>
      </w:r>
    </w:p>
    <w:p>
      <w:pPr>
        <w:pStyle w:val="Heading2"/>
      </w:pPr>
      <w:r>
        <w:t>Regeste</w:t>
      </w:r>
    </w:p>
    <w:p>
      <w:r>
        <w:t>MODIFICATION{EN GÉNÉRAL}, JUGEMENT DE DIVORCE, OBLIGATION D'ENTRETIEN, NULLITÉ, ADMISSION DE LA DEMANDE, ACCORD DE VOLONTÉS | 134 al. 3 CC, 285 CC, 287 al. 1 CC, 450 CC, 20 al. 2 CO</w:t>
      </w:r>
    </w:p>
    <w:p>
      <w:pPr>
        <w:pStyle w:val="Heading2"/>
      </w:pPr>
      <w:r>
        <w:t>Erwägungen</w:t>
      </w:r>
    </w:p>
    <w:p>
      <w:r>
        <w:rPr>
          <w:b/>
        </w:rPr>
        <w:t>E. 1</w:t>
      </w:r>
    </w:p>
    <w:p>
      <w:r>
        <w:t>Le recours est dirigé contre une décision de la justice de paix ratifiant une convention pour valoir modification de jugement de divorce en ce qui concerne le droit de garde et la contribution d’entretien de la mère à l’égard de ses enfants (art. 134 al. 3 et 276 CC [Code civil du 10 décembre 1907, RS 210]).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w:t>
      </w:r>
    </w:p>
    <w:p>
      <w:r>
        <w:rPr>
          <w:b/>
        </w:rPr>
        <w:t>E. 4</w:t>
      </w:r>
    </w:p>
    <w:p>
      <w:r>
        <w:t>L’intimé demande un contrôle annuel de l’évolution des charges et revenus de la recourante afin de procéder, cas échéant, à un ajustement de la pension. Il n’appartient pas à la justice de paix de contrôler régulièrement l’adéquation de la contribution d’entretien avec les revenus des parties, mais bien à celles-ci de saisir le juge (autorité de protection ou juge matrimonial) si une modification est souhaitée.</w:t>
      </w:r>
    </w:p>
    <w:p>
      <w:r>
        <w:rPr>
          <w:b/>
        </w:rPr>
        <w:t>E. 5</w:t>
      </w:r>
    </w:p>
    <w:p>
      <w:r>
        <w:t>En définitive, le recours interjeté par U.________ doit être admis et la décision entreprise annulée, la cause étant renvoyée à la justice de paix pour nouvelle instruction et nouvelle décision dans le sens des considérants. Le présent arrêt peut être rendu sans frais judiciaires (art. 74a al. 4 TFJC [Tarif du 28 septembre 2010 des frais judiciaires civils, RSV 270.11.5]). Par ces motifs, la Chambre des curatelles du Tribunal cantonal, statuant à huis clos, prononce : I. Le recours est admis. II. La décision est annulée et la cause renvoyée à la Justice de paix du district de Lausanne pour nouvelle instruction et nouvelle décision dans le sens des considérants. III. L’arrêt est rendu sans frais judiciaires. IV. L'arrêt motivé est exécutoire. La présidente :              La greffière : Du 21 mars 2014 Le dispositif de l'arrêt qui précède est communiqué par écrit aux intéressés. La greffière : Du L'arrêt qui précède, dont la rédaction a été approuvée à huis clos, est notifié à : ‑ Mme U.________, ‑ M. A.X.________,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