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189 vom 22. April 2014</w:t>
      </w:r>
    </w:p>
    <w:p>
      <w:r>
        <w:t>VD Tribunal cantonal, 2014-04-22, FR</w:t>
      </w:r>
    </w:p>
    <w:p>
      <w:r>
        <w:rPr>
          <w:b/>
        </w:rPr>
        <w:t xml:space="preserve">Quelle: </w:t>
      </w:r>
      <w:r>
        <w:t>https://mcp.opencaselaw.ch/entscheid/vd_findinfo_Arr_t___2014___189</w:t>
      </w:r>
    </w:p>
    <w:p>
      <w:r>
        <w:t>FR: VD_FINDINFO Arrêt / 2014 / 189 du 22 avril 2014</w:t>
      </w:r>
    </w:p>
    <w:p>
      <w:r>
        <w:t>IT: VD_FINDINFO Arrêt / 2014 / 189 del 22 aprile 2014</w:t>
      </w:r>
    </w:p>
    <w:p>
      <w:pPr>
        <w:pStyle w:val="Heading2"/>
      </w:pPr>
      <w:r>
        <w:t>Regeste</w:t>
      </w:r>
    </w:p>
    <w:p>
      <w:r>
        <w:t>MOTIF DE RÉVISION, RÉVISION{PRESTATION D'ASSURANCE}, FORCE PROBANTE, ÉVALUATION DE L'INCAPACITÉ DE TRAVAIL, ÉVALUATION DE L'INVALIDITÉ, DÉCISION DE RENVOI | 18 al. 1 LAA, 16 LPGA, 17 LPGA, 6 LPGA, 7 LPGA, 8 LPGA</w:t>
      </w:r>
    </w:p>
    <w:p>
      <w:pPr>
        <w:pStyle w:val="Heading2"/>
      </w:pPr>
      <w:r>
        <w:t>Erwägungen</w:t>
      </w:r>
    </w:p>
    <w:p>
      <w:r>
        <w:rPr>
          <w:b/>
        </w:rPr>
        <w:t>E. 6</w:t>
      </w:r>
    </w:p>
    <w:p>
      <w:r>
        <w:t>a) Est réputée invalidité l'incapacité de gain totale ou partielle qui est présumée permanente ou de longue durée, résultant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assurance accident, l’assuré a droit à une rente d’invalidité s’il est invalide à 10 % au moins (art.18 al.1 LAA).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TF 9C_58/2013 arrêt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arrêt du 3 mai 2010 consid. 3.2.2). c) Si la question de la possibilité de procéder à une révision ne fait aucun doute, il apparaît difficile en revanche de suivre l’intimé sur la question du taux de capacité de travail de la recourante, qui a considéré que l'assurée disposait d’une pleine capacité de travail dans une activité adaptée à ses limitations fonctionnelles et qu’elle n’était même nullement limitée dans un quelconque emploi (cf. décision sur opposition du 16 décembre 2011, p. 15, consid. 6.2). En effet, force est de constater que le Dr K.________ ne s’est pas du tout prononcé sur la capacité de travail de l’assurée, que ce soit dans le cadre d’une activité habituelle ou dans le cadre d’une activité adaptée à son état de santé. Il s’est en effet contenté de constater que les limitations fonctionnelles qu’alléguait la recourante n’étaient pas compatibles avec les observations faites dans le cadre de la vidéosurveillance. L’intimé en a un peu hâtivement déduit que l’assurée avait récupéré toute sa capacité de travail, sans se fonder sur des données médicales. Le Dr M.________ est le seul à s'être prononcé sur la capacité de travail actuelle de la recourante dans le cadre de la procédure d'opposition (attestation médicale du 11 décembre 2011), qu'il considère comme nulle en se fondant sur les nombreuses limitations fonctionnelles décrites par sa patiente. Il ne précise toutefois pas si l'incapacité totale de travail qu'il atteste se rapporte à l'activité habituelle d'aide-soignante de sa patiente ou à une activité adaptée à ses limitations fonctionnelles. Compte tenu du fait que les déclarations du médecin traitant de l’assuré doivent être prises avec réserve compte tenu du rapport thérapeutique qui le lie à son patient (cf. consid. 6b ci-dessus) et qu'en l'espèce, il s'agit en outre de l'appréciation d'un médecin généraliste et non celle d'un spécialiste en orthopédie, on ne saurait lui accorder une pleine valeur probante. Cela étant, il faut constater que l'intimé ne disposait pas des renseignements médicaux pertinents au moment où il a rendu la décision litigieuse. Même si la discrépance entre les allégations de la recourante quant à ses limitations fonctionnelles et les observations de vidéosurveillance est patente, il n'en demeure pas moins que la situation médicale concrète de la recourante doit être investiguée, compte tenu notamment de la nouvelle orthèse de la recourante qui, selon les explications de l'intéressée, si elle lui permet de se déplacer sans ses cannes pendant quelques heures, provoquerait toutefois des tuméfactions, des inflammations et des douleurs qui, si elles sont avérées doivent être prises en compte dans l'évaluation de la capacité de travail de la recourante. L'existence d'une incapacité de travail en raison d'un trouble psychique en lien avec l'accident devra en outre aussi être investiguée, puisqu'une incapacité de travail à raison d'un petit 30 % avait été retenue au moment où la décision d'octroi de la rente a été rendue. Se pose par conséquent la question de la mise en œuvre d'une expertise médicale sur la base de l'art. 44 LPGA aux fins de déterminer la capacité résiduelle de travail de la recourante en fonction des limitations fonctionnelles existant encore aujourd'hui – somatiques et psychiques – et de préciser quelle activité adaptée serait exigible. Il n'appartient toutefois pas à la Cour de céans de mettre en œuvre une telle expertise dans la mesure où, en tout état, le dossier est également lacunaire en ce qui concerne l'aspect économique de l'éventuelle activité lucrative adaptée qui pourrait être exigée de la recourante. L'instruction devant également être complétée sur ce point et l'évaluation du degré d'invalidité ressortissant à la compétence de l'intimé (16 LPGA), l'annulation de la décision entreprise et le renvoi de la cause à l'intimé s'imposent.</w:t>
      </w:r>
    </w:p>
    <w:p>
      <w:r>
        <w:rPr>
          <w:b/>
        </w:rPr>
        <w:t>E. 7</w:t>
      </w:r>
    </w:p>
    <w:p>
      <w:r>
        <w:t>Au vu de ce qui précède, la requête de la recourante relative à la mise en œuvre d'une expertise judiciaire ne peut qu'être rejetée. Il en va de même en ce qui concerne celle tendant à l'audition de témoins, la recourante restant libre de présenter une requête en ce sens à l'assureur accidents dans le cadre du complément d'instruction auquel il va devoir procéder.</w:t>
      </w:r>
    </w:p>
    <w:p>
      <w:r>
        <w:rPr>
          <w:b/>
        </w:rPr>
        <w:t>E. 8</w:t>
      </w:r>
    </w:p>
    <w:p>
      <w:r>
        <w:t>En conclusion, bien fondé, le recours doit être admis, la décision entreprise annulée et la cause renvoyée à l'intimé pour complément d'instruction dans le sens des considérants et nouvelle décision. La procédure étant gratuite, l'arrêt est rendu sans frais (art. 61 let a LPGA). La recourante obtient gain de cause avec l'assistance d'un mandataire professionnel. Elle a droit à des dépens, qu'il convient d'arrêter à 2'000 fr., compte tenu notamment de l'ampleur et de la complexité de la cause, dépens qui sont mis à la charge de l'intimé, qui succombe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