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708 vom 13. November 2013</w:t>
      </w:r>
    </w:p>
    <w:p>
      <w:r>
        <w:t>VD Tribunal cantonal, 2013-11-13, FR</w:t>
      </w:r>
    </w:p>
    <w:p>
      <w:r>
        <w:rPr>
          <w:b/>
        </w:rPr>
        <w:t xml:space="preserve">Quelle: </w:t>
      </w:r>
      <w:r>
        <w:t>https://mcp.opencaselaw.ch/entscheid/vd_findinfo_Arr_t___2013___708</w:t>
      </w:r>
    </w:p>
    <w:p>
      <w:r>
        <w:t>FR: VD_FINDINFO Arrêt / 2013 / 708 du 13 novembre 2013</w:t>
      </w:r>
    </w:p>
    <w:p>
      <w:r>
        <w:t>IT: VD_FINDINFO Arrêt / 2013 / 708 del 13 novembre 2013</w:t>
      </w:r>
    </w:p>
    <w:p>
      <w:pPr>
        <w:pStyle w:val="Heading2"/>
      </w:pPr>
      <w:r>
        <w:t>Regeste</w:t>
      </w:r>
    </w:p>
    <w:p>
      <w:r>
        <w:t>ACCIDENT, LÉSION CORPORELLE ASSIMILÉE À UN ACCIDENT, NOTION, CAUSE EXTÉRIEURE EXTRAORDINAIRE, LÉSION DU LIGAMENT, PREMIÈRE DÉCLARATION, MESURE D'INSTRUCTION{ASSURANCE SOCIALE}, MAXIME OFFICIELLE ET INQUISITOIRE | 6 al. 1 LAA, 6 al. 2 LAA, 6 LAA, 4 LPGA, 43 al. 1 LPGA, 43 LPGA, 61 let. g LPGA, 9 al. 2 let. g OLAA, 9 al. 2 OLAA, 9 OLAA</w:t>
      </w:r>
    </w:p>
    <w:p>
      <w:pPr>
        <w:pStyle w:val="Heading2"/>
      </w:pPr>
      <w:r>
        <w:t>Erwägungen</w:t>
      </w:r>
    </w:p>
    <w:p>
      <w:r>
        <w:rPr>
          <w:b/>
        </w:rPr>
        <w:t>E. 12</w:t>
      </w:r>
    </w:p>
    <w:p>
      <w:r>
        <w:t>février 2013, qu’elle produit, de prendre le cas en charge au motif qu’il ne relève pas de sa compétence. La recourante joint à son écriture un bordereau de pièces qui, outre les documents susmentionnés, contient notamment des extraits du registre du commerce, diverses factures de traitements médicaux, ainsi que quatre certificats de la Dresse Z.________ attestant d’une incapacité de travail de 100% du 17 avril au 20 mai 2012, de 50% du 21 mai au 3 juin 2012, de 0% dès le 4 juin 2012, puis de 30% du 14 au 24 juin 2012. En duplique du 12 avril 2013, l’intimée allègue que la question litigieuse relève d’une appréciation juridique, raison pour laquelle un nouvel avis médical n’est pas nécessaire. Elle relève que la caisse maladie n’a pas formé opposition à la décision entreprise et reprend, au surplus, les arguments développés précédemment. A l’appui de son écriture, l’intimée produit différentes pièces, dont une procuration. Dans ses déterminations du 17 mai 2013, la recourante rétorque essentiellement que l'argumentation de l'intimée ne repose sur aucune considération juridique ou médicale solide. Elle produit un article de presse critique à l'égard de la caisse.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En l'espèce, le recours a été formé en temps utile auprès de l'autorité compétente et satisfait en outre aux autres conditions légales (art. 61 let. b LPGA), de sorte qu’il est recevable en la forme. La valeur litigieuse étant supérieure à 30'000 fr., la cause doit être tranchée par la Cour composée de trois magistrats (art. 94 al. 1 et 4 LPA-VD et art. 83c al. 1 et 2 LOJV [loi vaudoise d'organisation judiciaire du 12 décembre 1979, RSV 173.01]). 2. Le litige porte sur le point de savoir si l'intimée doit prendre en charge les suites de l'événement du 17 avril 2012, singulièrement si cet événement doit être qualifié d'accident ou s'il a occasionné une lésion assimilée à un accident.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TF 8C_767/2012 du 18 juillet 2013 consid. 3.1). Le facteur doit être extérieur en ce sens que ce doit être une cause externe et non interne au corps humain qui agit (Frésard/Moser-Szeless, L'assurance-accidents obligatoire, in: Schweizerisches Bundesverwaltungsrecht, Soziale Sicherheit [SBVR], 2 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 TF 8C_767/2012 du 18 juillet 2013 consid. 3.1).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Le caractère extraordinaire peut ainsi être admis lorsque l'assuré s'encouble, glisse ou se heurte à un objet, ou encore lorsqu'il exécute ou tente d'exécuter un mouvement par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b) A teneur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lésions de ligaments figurent dans la liste exhaustive de l'art. 9 al. 2 OLAA à la let. g.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TF 8C_101/2012 du 2 mai 2013 consid. 3.1).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a) Dans le cas d'espèce, la version des faits présentée par la recourante dans son recours ne peut pas être tenue pour établie. Le questionnaire rempli par cette dernière le 11 juin 2012 mentionne expressément qu’une description détaillée est requise, puis, dans une nouvelle question, demande de décrire en quoi l’événement se serait déroulé dans des circonstances particulières. L'assurée devait donc savoir qu’il lui appartenait de donner une description précise, en particulier en ce qui concerne le caractère inhabituel de l’événement. Partant, il n'est pas possible de retenir que le chariot serait survenu inopinément sur son passage, comme le soutient l'intéressée pour la première fois dans son opposition du 8 octobre 2012. Il y a lieu de se référer au contraire à ses premières déclarations, conformément à la jurisprudence précitée (cf. supra, consid. 3c), selon lesquelles elle s’est blessée alors qu'elle reconduisait un patient dans son lit, en effectuant un mouvement de traction plus important vers la gauche pour éviter un obstacle. Quoi qu’il en soit, ce mouvement ne revêt pas un caractère extraordinaire, indépendamment du point de savoir si ledit obstacle est survenu inopinément ou pas. En effet, le fait pour une infirmière d'éviter un objet par un mouvement de torsion, en déplaçant le lit d'un patient, n'excède pas le cadre des événements rencontrés habituellement, voire même au quotidien, dans l'exercice de cette profession. La recourante n'a du reste jamais fait état d'un mouvement non coordonné, tels une glissade ou un heurt, qui permettrait de considérer que l'effort déployé a entraîné une sollicitation accrue de l'organisme. Partant, à défaut de remplir l'une des conditions exigées par l'art. 4 LPGA (cf. supra, consid. 3a), l'événement litigieux du 17 avril 2012 ne constitue pas un accident à charge de l'intimée. b) Reste à déterminer si la lésion subie doit être assimilée à un accident au regard de l'art. 9 al. 2 OLAA (cf. supra, consid. 3b). A cet égard, la seule pièce médicale figurant au dossier, savoir le rapport de la Dresse Z.________ du 14 juin 2012, pose le diagnostic d’entorse dorso-cervicale. Une lésion ligamentaire au sens de l’art. 9 al. 2 let. g OLAA n'est donc pas exclue. Cependant, en l’absence de toute instruction complémentaire de l’intimée sur ce point, en dépit de son devoir d’instruire la cause d’office (cf. supra, consid. 3d), il n'est pas possible de constater les faits de manière suffisante en l’état du dossier. Or, la question pourrait être déterminante dans la mesure où, si une lésion ligamentaire était établie, il faudrait admettre une lésion assimilée à un accident. La traction d’un lit sur lequel repose un patient d’environ 90 kg, en torsion, avec un mouvement brusque, tel que mentionné notamment dans le rapport médical du 14 juin 2012, constitue en effet un facteur extérieur, certes non extraordinaire, mais pouvant faire admettre l'existence d'une lésion assimilée à un accident au sens de l’art. 9 al. 2 OLAA en cas de lésion ligamentaire. L'intimée ne pouvait dès lors se contenter d'arguer que le diagnostic posé par le médecin traitant n'avait pas été confirmé par des examens spécialisés, qu'elle se devait précisément d'ordonner selon l'art. 43 al. 1 LPGA. Il y a donc lieu de lui renvoyer le dossier à cet effet. Dans ces circonstances, la question de la validité formelle de la décision contestée peut être laissée ouverte. 5. a) En définitive, le recours doit être admis et la cause renvoyée à la caisse intimée afin qu'elle en complète l'instruction par une expertise au sens de l'art. 44 LPGA et rende une nouvelle décision. b) Vu l'admission du recours, la recourante, qui a agi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RSV 173.36.5.2]). La recourante soutient que la manière d'agir de l'intimée aurait compliqué la procédure et créé un travail supplémentaire important, justifiant l'octroi de dépens substantiels. La liste des opérations de son conseil fait état de 15,3 heures de travail. Cette liste n'est toutefois pas suffisamment détaillée et recouvre des opérations antérieures à la décision sur opposition litigieuse. Par ailleurs, la cause n'est pas particulièrement complexe et ne comprend pas un grand nombre de pièces à étudier, au contraire. Le refus de prise en charge de factures de prestataires de soins par l'assurance-maladie et l'assurance-accidents simultanément ne constitue pas une complication excessive, vu en particulier l'art. 70 LPGA ; on peut même se demander si la question était réellement comprise dans l'objet du litige, sans qu'il soit nécessaire de la trancher. Aussi convient-il de fixer l'indemnité de dépens à 2'500 fr., ce qui suffit à couvrir les opérations nécessaires à la défense des intérêts de la recourante, et de la mettre à charge de l'intimée, qui succombe (art. 55 al. 2 LPA-VD). Il n'y a pas lieu de percevoir des frais de justice,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