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659 vom 4. Juli 2013</w:t>
      </w:r>
    </w:p>
    <w:p>
      <w:r>
        <w:t>VD Tribunal cantonal, 2013-07-04, FR</w:t>
      </w:r>
    </w:p>
    <w:p>
      <w:r>
        <w:rPr>
          <w:b/>
        </w:rPr>
        <w:t xml:space="preserve">Quelle: </w:t>
      </w:r>
      <w:r>
        <w:t>https://mcp.opencaselaw.ch/entscheid/vd_findinfo_Arr_t___2013___659</w:t>
      </w:r>
    </w:p>
    <w:p>
      <w:r>
        <w:t>FR: VD_FINDINFO Arrêt / 2013 / 659 du 4 juillet 2013</w:t>
      </w:r>
    </w:p>
    <w:p>
      <w:r>
        <w:t>IT: VD_FINDINFO Arrêt / 2013 / 659 del 4 luglio 2013</w:t>
      </w:r>
    </w:p>
    <w:p>
      <w:pPr>
        <w:pStyle w:val="Heading2"/>
      </w:pPr>
      <w:r>
        <w:t>Regeste</w:t>
      </w:r>
    </w:p>
    <w:p>
      <w:r>
        <w:t>AUTORISATION OU APPROBATION{EN GÉNÉRAL}, CURATEUR, ADMISSION PARTIELLE, DROITS STRICTEMENT PERSONNELS | 19c al. 2 CC, 19c CC, 398 CC, 416 al. 1 ch. 9 CC, 450 CC</w:t>
      </w:r>
    </w:p>
    <w:p>
      <w:pPr>
        <w:pStyle w:val="Heading2"/>
      </w:pPr>
      <w:r>
        <w:t>Erwägungen</w:t>
      </w:r>
    </w:p>
    <w:p>
      <w:r>
        <w:rPr>
          <w:b/>
        </w:rPr>
        <w:t>E. 1</w:t>
      </w:r>
    </w:p>
    <w:p>
      <w:r>
        <w:t>Dès le 1 er janvier 2013, les mesures de protection de l’adulte sont régies par le nouveau droit de protection de l’adulte (art. 14 al. 1 Tit. fin. CC).</w:t>
      </w:r>
    </w:p>
    <w:p>
      <w:r>
        <w:rPr>
          <w:b/>
        </w:rPr>
        <w:t>E. 2</w:t>
      </w:r>
    </w:p>
    <w:p>
      <w:r>
        <w:t>Les recours sont dirigés contre une décision de la juge de paix autorisant la curatrice de A.H.________ à consulter Me [...] afin de prendre toutes mesures utiles tendant à la protection des biens de A.H.________, celui-ci étant d’ores et déjà autorisé à plaider et à transiger au nom de A.H.________ (art. 416 al. 1 ch. 9 CC). a) Le recours de l'art. 450 CC est ouvert à la Chambre des curatelles (art. 8 LVPAE [loi du 29 mai 2012 d’application du droit fédéral de la protection de l'adulte et de l'enfant, RSV 211.255] et 76 al. 2 LOJV [loi d'organisation judiciaire du 12 décembre 1979, RSV 173.01]) contre une décision du président de l'autorité de protection autorisant le curateur de la personne concernée à plaider et transiger (art. 416 al. 1 ch. 9 CC et 5 let. m LVPAE ; Steck, Basler Kommentar, Erwachsenenschutz, 2012, n. 19 ad art. 450 CC, p. 637),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642).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RS 272]). Selon les situations, le recours sera par conséquent de nature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 L’art. 446 al. 1 CC prévoit que l'autorité de protection de l'adulte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450a CC, p. 644, et les auteurs cités). b) L’acte du 14 mars 2013 est une simple lettre de A.H.________ à sa curatrice, qui comporte différentes déclarations de volonté et instructions. Cette missive ne fait aucune référence expresse à la décision du 20 février 2013, envoyée pour notification le 13 mars 2013, soit la veille. On peut donc se demander si cette écriture peut être considérée comme un recours, d’une part, et si elle est dûment motivée au sens de l’art. 450 al.</w:t>
      </w:r>
    </w:p>
    <w:p>
      <w:r>
        <w:rPr>
          <w:b/>
        </w:rPr>
        <w:t>E. 3</w:t>
      </w:r>
    </w:p>
    <w:p>
      <w:r>
        <w:t>a) Les recourants invoquent en premier lieu que la décision entreprise revient à imposer le divorce à A.H.________, alors que celle-ci a formellement déclaré en procédure qu’elle ne voulait plus divorcer. Or, le droit de divorcer constitue un droit strictement personnel absolu, qui ne peut pas être exercé par le représentant légal d’une personne privée de l’exercice des droits civils. En outre, ils soutiennent que la défense des intérêts de A.H.________ ne nécessite pas la liquidation du régime matrimonial des époux [...] aux fins de permettre la vente de l’immeuble de B.H.________, vu que l’intéressée est en mesure de faire face à ses dettes grâce aux prestations du BRAPA et que cet organisme dispose de voies de droit particulières lui permettant de se retourner contre le débirentier. Enfin, les recourants font grief à la première juge d’avoir statué de manière disproportionnée en adoptant une solution tendant à la vente de l’immeuble de B.H.________, plutôt que d’envisager des alternatives moins extrêmes comme le paiement des charges de A.H.________ par ses enfants ou le financement de la contribution d’entretien de l’intéressée avec le produit d’une location de l’immeuble de B.H.________. b) Aux termes de l’art. 416 al. 1 ch. 9 CC, lorsque le curateur agit au nom de la personne concernée, il doit requérir le consentement de l’autorité de protection de l’adulte pour plaider et transiger, sous réserve des mesures provisoires prises d’urgence par le curateur. L’autorisation de plaider en justice est nécessaire quels que soient l’autorité saisie, la qualité de la personne concernée dans la procédure, l’enjeu du procès et le stade de la procédure. Faute de consentement, la procédure judiciaire doit être déclarée irrecevable. En revanche, si le procès concerne l’exercice de droits strictement personnels (art. 19c al. 1 CC et 67 al. 3 let. a CPC), la personne concernée capable de discernement peut agir seule et notamment mandater seule un avocat pour défendre ses droits (Guide pratique COPMA, n. 7.49, pp. 222-223 ; Meier/Lukic, op. cit., n. 620, pp. 281-282). Conformément à l’art. 19c al. 2 CC, les personnes incapables de discernement sont représentées par leur représentant légal, sauf pour les droits qui ne souffrent aucune représentation en raison de leur lien étroit avec la personnalité. Selon la jurisprudence du Tribunal fédéral – rendue avant l’entrée en vigueur du nouveau droit de la protection de l’adulte mais dont les principes peuvent être repris s’agissant de l’application de l’art. 19c al. 2 CC –, le droit d’ouvrir une action en divorce, de nature strictement personnelle absolue, échappe au pouvoir du représentant légal et son exercice au nom d’une personne incapable de discernement est exclu (Werro/Schmidlin, op. cit., n. 13 ad art. 18 CC, p. 196 ; ATF 116 II 385, JT 1993 I 611 ; ATF 78 II 99, JT 1953 I 6). c/aa) En l’espèce, contrairement à l’état de fait retenu par l’autorité de première instance, il apparaît qu’une procédure de divorce sur demande unilatérale, initiée par A.H.________, est pendante depuis 2009. En effet, la convention passée lors de l’audience du 14 juin 2010 a été ratifiée pour valoir ordonnance de mesures provisionnelles – et non prononcé de mesures protectrices de l’union conjugale – et cela ressort également des courriers de Me [...] des 20 septembre et 12 octobre 2012. On ne saurait pas non plus considérer que la lettre adressée le 21 décembre 2012 par cet avocat au président du tribunal d’arrondissement est une ouverture de procédure en divorce, dès lors qu’il y est clairement fait mention de la reprise de l’instruction de la procédure de divorce sur demande unilatérale ouverte sous référence [...]. Ainsi, A.H.________ avait, préalablement à l’institution d’une mesure de protection en sa faveur, ouvert une action en divorce, mais on ignore son état psychique à cette époque. Ce qui est avéré en revanche, c’est qu’elle est incapable de discernement à tout le moins dès le 31 mai 2012, date du rapport d’expertise. L’ouverture d’une procédure de divorce, respectivement le retrait d’une telle action, étant un droit strictement personnel absolu et échappant au pouvoir du représentant légal, la curatrice ne peut dès lors pas agir à cet égard au nom de la personne concernée, ni mandater un tiers à cet effet. Même si l’on avait au contraire dû considérer que A.H.________ bénéficiait encore de sa pleine capacité de discernement, il aurait alors fallu admettre que l’intéressée était parfaitement en droit de changer d’avis et que sa représentante légale n’avait pas le pouvoir de passer outre sa volonté, en raison du caractère absolu de son droit de divorcer ou de révoquer une décision antérieure de divorcer. A cela s’ajoute le fait que l’autorisation litigieuse délimite de façon insuffisante l’activité visée par l’intervention de l’avocat. Selon la décision entreprise, la curatrice est habilitée à consulter Me [...] « afin de prendre toutes mesures utiles tendant à la protection des biens de A.H.________ , ce dernier étant d’ores et déjà autorisé à plaider et transiger » au nom de celle-ci. Une telle formulation est beaucoup trop vague. On ignore en particulier la nature des procédures envisagées et il n’est pas fait mention d’une liquidation de régime matrimonial ni d’un divorce, alors que ces questions sont au centre du débat. Enfin, comme les recourants le soulignent, le BRAPA dispose de voies de droit propres pour exercer une action récursoire contre le débirentier B.H.________ et la démarche envisagée par la curatrice – consistant à contraindre A.H.________ à divorcer en vue de provoquer la réalisation de l’immeuble de son époux dans le cadre de la liquidation du régime matrimonial – apparaît disproportionnée, voire même improductive si l’on prend en considération la durée prévisible d’un tel processus. Nul doute qu’une procédure de recouvrement engagée par le BRAPA serait susceptible de conduire plus rapidement à un résultat allant dans le sens des intérêts de la personne concernée et cela sans porter atteinte à l’un des fondements de la liberté personnelle de A.H.________. bb) Si la décision attaquée avait eu pour seul objet l’autorisation donnée à la curatrice de mandater un avocat pour la procédure de divorce en contradiction avec la volonté exprimée par la personne concernée, le recours de B.H.________, C.H.________ et D.H.________ aurait dû être purement et simplement admis. Toutefois, l’autorisation litigieuse concerne « toutes mesures utiles à la protection des biens » de A.H.________, de sorte que le recours se révèle seulement partiellement bien fondé, puisqu’une telle protection est en l’espèce bel et bien nécessaire, compte tenu de la situation délicate de l’intéressée. Au vu des éléments exposés précédemment, la décision attaquée doit être annulée et la cause renvoyée à la juge de paix, qui, après interpellation de la curatrice, statuera, le cas échéant, à nouveau en indiquant, dans l’hypothèse où l’intervention d’un avocat se révélerait encore nécessaire, quelles démarches Me [...] est autorisé à entreprendre, à l’exclusion de la continuation de la procédure de divorce.</w:t>
      </w:r>
    </w:p>
    <w:p>
      <w:r>
        <w:rPr>
          <w:b/>
        </w:rPr>
        <w:t>E. 4</w:t>
      </w:r>
    </w:p>
    <w:p>
      <w:r>
        <w:t>juillet 2013 Le dispositif de l'arrêt qui précède est communiqué par écrit aux intéressés. La greffière : Du L'arrêt qui précède, dont la rédaction a été approuvée à huis clos, est notifié à : ‑ Mme A.H.________, - Me Olivier Bloch (pour B.H.________, C.H.________ et D.H.________), - Mme L.________, assistante sociale auprès de l’Office des curatelles et tutelles professionnelles,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