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655 vom 7. Oktober 2013</w:t>
      </w:r>
    </w:p>
    <w:p>
      <w:r>
        <w:t>VD Tribunal cantonal, 2013-10-07, FR</w:t>
      </w:r>
    </w:p>
    <w:p>
      <w:r>
        <w:rPr>
          <w:b/>
        </w:rPr>
        <w:t xml:space="preserve">Quelle: </w:t>
      </w:r>
      <w:r>
        <w:t>https://mcp.opencaselaw.ch/entscheid/vd_findinfo_Arr_t___2013___655</w:t>
      </w:r>
    </w:p>
    <w:p>
      <w:r>
        <w:t>FR: VD_FINDINFO Arrêt / 2013 / 655 du 7 octobre 2013</w:t>
      </w:r>
    </w:p>
    <w:p>
      <w:r>
        <w:t>IT: VD_FINDINFO Arrêt / 2013 / 655 del 7 ottobre 2013</w:t>
      </w:r>
    </w:p>
    <w:p>
      <w:pPr>
        <w:pStyle w:val="Heading2"/>
      </w:pPr>
      <w:r>
        <w:t>Regeste</w:t>
      </w:r>
    </w:p>
    <w:p>
      <w:r>
        <w:t>RENTE D'INVALIDITÉ, AFFECTION PSYCHIQUE, MALADIE RÉNALE | 28 al. 2 LAI, 4 al. 1 LAI, 8 al. 1 LPGA</w:t>
      </w:r>
    </w:p>
    <w:p>
      <w:pPr>
        <w:pStyle w:val="Heading2"/>
      </w:pPr>
      <w:r>
        <w:t>Erwägungen</w:t>
      </w:r>
    </w:p>
    <w:p>
      <w:r>
        <w:rPr>
          <w:b/>
        </w:rPr>
        <w:t>E. 3</w:t>
      </w:r>
    </w:p>
    <w:p>
      <w:r>
        <w:t>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w:t>
      </w:r>
    </w:p>
    <w:p>
      <w:r>
        <w:rPr>
          <w:b/>
        </w:rPr>
        <w:t>E. 4</w:t>
      </w:r>
    </w:p>
    <w:p>
      <w:r>
        <w:t>a) Le recourant soutient qu’il est gravement atteint dans sa santé en raison de ses problèmes rénaux et que de ce fait il n’est plus en mesure d’exercer son activité à un taux supérieur à 50%. Il justifie ainsi la réduction de son taux d'activité à 50%. Dans la décision querellée, l’intimé estime que le recourant a diminué volontairement son taux d’activité à 60% dès le 1 er novembre 2009 sans motivation médicale alors que la capacité de travail serait de 70% dans toute activité y compris l’activité habituelle d'employé d'hôpital. En conséquence, l’OAI considère que le recourant est réadapté de manière adéquate et qu'il n’y a pas besoin d’autres mesures. b) Il convient donc de déterminer le statut de l’assuré. La réponse à la question de savoir à quel taux d’activité la personne assurée travaillerait sans atteinte à la santé dépend de l’ensemble des circonstances personnelles, familiales, sociales, financières et professionnelles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(TF 9C_62/2011 du 16 août 2011 consid. 4.1; TF 9C_399/2008 du 5 mai 2009 consid. 4.1; TF 9C_667/2007 du 12 juin 2008 consid. 3.1; TF 9C_428/2007 du 20 novembre 2007 consid. 4.1; TFA I 693/06 du 20 décembre 2006 consid. 4.1). Il convient pour déterminer la méthode applicable au cas particulier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définitif qu’à l’expérience générale de la vie (ATF 117 V 194 consid. 3b; TF 9C_137/2013 du 22 juillet 2013 consid. 5). En l’occurrence, l’OAI n’a pas du tout instruit sur les raisons de la diminution du taux d’activité de l’assuré. Or, le Tribunal fédéral a jugé (TF 9C_519/2010 du 5 juillet 2011 consid. 5) qu’en renonçant à mener les investigations qui s’imposaient pour être en mesure de choisir la méthode d’évaluation de l’invalidité, l’office recourant a pris le risque que la juridiction cantonale de recours le fasse elle-même et procède à des constatations de faits qu’il ne partage pas, sans que le résultat de l’administration des preuves (la reconnaissance d’un statut de personne active à plein temps) apparaisse insoutenable au point de devoir entraîner l’annulation du jugement entrepris. En l’espèce, le recourant est né en 1960. Il a toujours travaillé à plein temps même après sa greffe du rein. Ses deux filles étaient en 2010, l’une à l’université, l’autre au gymnase, donc en principe encore à la charge de leurs parents. La première baisse de son taux d’activité (de 100 à 60%) date de novembre 2009. Selon la Dresse L.________, cette modification intervient dans le contexte de l’état de santé du recourant qui se détériorait depuis 2009. Cette détérioration est également attestée par la Dresse N.________, qui fixait en juin 2010 la capacité de travail de 60 à 70%, et il résulte également du rapport du 10 août 2009 du département de psychiatrie du CHUV que l’état de santé du recourant influençait le travail de celui-ci. Dans son rapport du 27 juillet 2010, le Dr X.________ atteste lui-même du début d’une longue maladie depuis le 3 septembre 2009 et d'une capacité de travail de 70% dans toute activité. L’ensemble de ces circonstances (situation familiale et attestations médicales) indique que ce n’est pas par choix de vie que le recourant a diminué son taux d’activité mais pour des raisons médicales, justifiées ou non. Il y a donc lieu de retenir au recourant le statut d'actif à 100% et donc de refuser de suivre l’OAI lorsque celui-ci affirme que la réduction du taux d’activité n’était pas motivée par des raisons médicales. c) Il y a lieu dès lors de déterminer la capacité de travail du recourant. Dans son courrier du 28 juin 2010 du Dr X.________, la Dresse N.________ estime que la capacité de travail du recourant serait de 70 à 80% si celui-ci ne souffrait que de sa pathologie rénale. Elle impute pour le surplus l’incapacité de travail aux problèmes psychiques du recourant. Le SMR, dans son avis du 27 juillet 2010, considère que la capacité de travail du recourant est de 70% dans toute activité, y compris l’activité habituelle. Il retient comme atteinte principale à la santé l’insuffisance chronique de stade III chez un patient traité par greffe rénale en 1995 et présentant un état de fatigabilité s’aggravant du fait de l’atteinte rénale et de son traitement. En revanche, le SMR soutient que le recourant ne présente pas de symptômes psychiatriques. Il doit être suivi à cet égard. En effet, aucun rapport convaincant ne fait état d’une pathologie psychiatrique invalidante. Certes, la Dresse N.________, dans son rapport du 28 juin 2010, évoque un état anxio-dépressif avec répercussion évidente sur sa capacité de travail mais sans chiffrer une éventuelle incapacité de travail à cet égard. Cela étant, il ressort clairement de tous les rapports que dans le cadre de son activité habituelle, le recourant est, de par sa maladie, confronté à des difficultés générant du stress entraînant irritabilité et angoisses. Dans son rapport du 27 juillet 2010, le Dr X.________ fait totalement abstraction de cet élément, n’énumérant que des limitations fonctionnelles physiques (activité de type sédentaire ou semi-sédentaire, sans manipulation prolongée de charges lourdes de plus de 10 kg, horaire à répartir sur 5 jours ouvrables, activité permettant l’alternance des positions, pas de travail avec les bras maintenus au-dessus de la tête, pas de travail en position accroupie ou à genoux de façon prolongée). d) Le recourant soutient qu'il n'est pas exigible de le faire changer d’activité car cela entraînerait pour lui une perte salariale importante.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(RCC 1983 p. 246), ou encore d’accepter un emploi le contraignant à changer de domicile, en vertu de son obligation de réduire le dommage résultant de l’invalidité (ATF 113 V 22 consid. 4; 109 V 25 consid. 3c; TF 8C_771/2011 du 15 novembre 2012 consid. 3).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p. 380; 119 V 250 consid. 3a p. 253; voir également ATF 113 V 22 consid. 4d p. 31; TF 8C_771/2011 du 15 novembre 2012 consid. 3). Il n’y a aucune raison de s’écarter de ce principe dans le cas d'espèce, de sorte qu'il est exigible de la part du recourant de changer de travail. Il appartient du reste à l'assurance-invalidité de suppléer à une perte de gain en résultant. C’est d’ailleurs ainsi que se détermine le taux d’invalidité selon l’art. 16 LPGA. En l’occurrence, l’OAI a calculé cette perte de gain. Il a pris en considération l’année 2010, ce qui est exact (le début de l'incapacité de travail durable date du 3 septembre 2009 et le droit à la rente débute en septembre 2010 – délai de carence d’une année oblige [art. 28 LAI], le délai de six mois après le dépôt de la demande [art. 29 al. 1 LAI] étant en outre respecté). e) Dès lors, selon le calcul exposé par l'OAI dans sa fiche du 30 septembre 2010, le degré d’invalidité est de 46%, étant précisé que le taux d’abattement de 10% n'est pas arbitraire et paraît équitable au vu des circonstances du cas d'espèce. Selon les indications ressortant de la fiche de salaire du 30 septembre 2010, le revenu dans une activité adaptée – selon l'enquête suisse sur la structure des salaires pour 2010 – est de 42'866 fr. 91 pour un poste à 70%. Avec un abattement de 10%, il y a lieu de retenir un revenu d'invalide de 38'580 fr. 21 (42'866.91 – 10%). Compte tenu d'un revenu sans invalidité de 71'290 fr., le degré d'invalidité s'élève à 46% ([71'290 – 38'580.21] : 71'290), ce qui donne droit à un quart de rente d'invalidité (art. 28 al. 2 LAI). En conséquence, le recours est admis et le recourant a droit à un quart de rente d'invalidité dès le 1 er septembre 2010.</w:t>
      </w:r>
    </w:p>
    <w:p>
      <w:r>
        <w:rPr>
          <w:b/>
        </w:rPr>
        <w:t>E. 5</w:t>
      </w:r>
    </w:p>
    <w:p>
      <w:r>
        <w:t>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judicaires à 400 fr. et de les mettre à la charge de l'OAI, qui succombe. Le recourant, qui obtient gain de cause avec l'assistance d'un mandataire professionnel, a droit à une indemnité de dépens (art. 61 let. g LPGA), qu'il y a lieu de fixer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