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629 vom 10. September 2013</w:t>
      </w:r>
    </w:p>
    <w:p>
      <w:r>
        <w:t>VD Tribunal cantonal, 2013-09-10, FR</w:t>
      </w:r>
    </w:p>
    <w:p>
      <w:r>
        <w:rPr>
          <w:b/>
        </w:rPr>
        <w:t xml:space="preserve">Quelle: </w:t>
      </w:r>
      <w:r>
        <w:t>https://mcp.opencaselaw.ch/entscheid/vd_findinfo_Arr_t___2013___629</w:t>
      </w:r>
    </w:p>
    <w:p>
      <w:r>
        <w:t>FR: VD_FINDINFO Arrêt / 2013 / 629 du 10 septembre 2013</w:t>
      </w:r>
    </w:p>
    <w:p>
      <w:r>
        <w:t>IT: VD_FINDINFO Arrêt / 2013 / 629 del 10 settembre 2013</w:t>
      </w:r>
    </w:p>
    <w:p>
      <w:pPr>
        <w:pStyle w:val="Heading2"/>
      </w:pPr>
      <w:r>
        <w:t>Regeste</w:t>
      </w:r>
    </w:p>
    <w:p>
      <w:r>
        <w:t>ACCIDENT PROFESSIONNEL, LÉSION DE LA MAIN, SURDITÉ, PRODUCTIVITÉ, DROIT À LA PRESTATION D'ASSURANCE, PRESTATION D'ASSURANCE{AA}, INDEMNITÉ POUR ATTEINTE À L'INTÉGRITÉ, ÉVALUATION DE L'INCAPACITÉ DE TRAVAIL, MESURE D'INSTRUCTION{ASSURANCE SOCIALE}, DÉCISION DE RENVOI | 18 al. 1 LAA, 24 LAA, 25 LAA, 6 al. 1 LAA, 44 LPGA</w:t>
      </w:r>
    </w:p>
    <w:p>
      <w:pPr>
        <w:pStyle w:val="Heading2"/>
      </w:pPr>
      <w:r>
        <w:t>Erwägungen</w:t>
      </w:r>
    </w:p>
    <w:p>
      <w:r>
        <w:rPr>
          <w:b/>
        </w:rPr>
        <w:t>E. 5</w:t>
      </w:r>
    </w:p>
    <w:p>
      <w:r>
        <w:t>Le recourant conteste également le taux de 10% fixé par la CNA pour l’indemnité pour atteinte à l’intégrité (IPAI). Vu la force de serrage restreinte de la main droite, le taux devrait être plus élevé, d’autant plus qu’il est droitier. Quant à la CNA, elle renvoie à l’appréciation du Dr K.________. a) Celui qui, par suite d'un accident assuré, souffre d'une atteinte importante et durable à son intégrité physique, mentale ou psychique a droit à une indemnité équitable pour atteinte à l'intégrité (art. 24 al. 1 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Faisant notamment usage d'une délégation de compétence prévue à l'art. 25 al. 2 LAA, le Conseil fédéral a édicté l'art. 36 OLAA (ordonnance du 20 décembre 1982 sur l'assurance-accidents; RS 832.202). Selon l'alinéa 2 de cette disposition réglementaire, l'indemnité pour atteinte à l'intégrité est calculée selon les directives figurant à l'annexe 3 OLAA. Cette annexe comporte un barème – reconnu conforme à la loi et non exhaustif (ATF 124 V 29 consid. 1b, 209 consid. 4a/bb;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L’annexe 3 OLAA mentionne au sujet des membres supérieurs les barèmes suivants: - Perte d’une phalange du pouce ou d’au moins deux phalanges d’un autre doigt: 5% - Perte totale d’un pouce: 20% - Perte d’une main: 40% - Perte d’un bras au niveau du coude ou en dessus: 50%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TF 8C_459/2008 du 4 février 2009 consid. 2.1). Le Tribunal fédéral des assurances a consacré le caractère objectif ou égalitaire de l'IPAI,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l'IPAI, ni la manière dont ce dernier ressent les douleurs.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l’IPAI (TF 8C_221/2012 du 4 avril 2013 consid. 4.2.2; TFA U 105/03 du 23 décembre 2003 consid. 5.2, in: RAMA 2004 n° U 508 p. 265). b) Vu, en particulier, le dernier paragraphe, la CNA devra donc à nouveau statuer sur l’IPAI lorsqu’elle rendra sa nouvelle décision sur l’octroi d’une rente après avoir procédé aux mesures d'instruction complémentaires. Elle devra ainsi tenir compte d’éventuelles nouvelles constatations supplémentaires. Dans cette mesure, il n’y a, pour l’instant, pas lieu de se prononcer plus avant sur l’IPAI, sauf que la décision attaquée concernant l’IPAI doit également être annulée.</w:t>
      </w:r>
    </w:p>
    <w:p>
      <w:r>
        <w:rPr>
          <w:b/>
        </w:rPr>
        <w:t>E. 6</w:t>
      </w:r>
    </w:p>
    <w:p>
      <w:r>
        <w:t>Il ressort de ce qui a été dit que le recours doit être admis, la décision sur opposition de la CNA du 5 décembre 2011 annulée et la cause renvoyée à l’intimée pour instruction complémentaire et nouvelle décision dans le sens des considérants.</w:t>
      </w:r>
    </w:p>
    <w:p>
      <w:r>
        <w:rPr>
          <w:b/>
        </w:rPr>
        <w:t>E. 7</w:t>
      </w:r>
    </w:p>
    <w:p>
      <w:r>
        <w:t>Compte tenu du sort du recours, le recourant, qui est représenté par une mandataire professionnelle, peut prétendre à des dépens qu'il convient de fixer à 2’500 francs (art. 55 LPA-VD et 61 let. g LPGA). Dans cette mesure, il n’y a pas lieu de fixer l’indemnité à accorder, dans le cadre de l’assistance judiciaire, au conseil d’office du recourant car cette indemnité n’aurait pas été plus élevée. Vu que la procédure est selon l’art. 61 let. a LPGA en principe gratuite,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