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478 vom 6. September 2013</w:t>
      </w:r>
    </w:p>
    <w:p>
      <w:r>
        <w:t>VD Tribunal cantonal, 2013-09-06, FR</w:t>
      </w:r>
    </w:p>
    <w:p>
      <w:r>
        <w:rPr>
          <w:b/>
        </w:rPr>
        <w:t xml:space="preserve">Quelle: </w:t>
      </w:r>
      <w:r>
        <w:t>https://mcp.opencaselaw.ch/entscheid/vd_findinfo_Arr_t___2013___478</w:t>
      </w:r>
    </w:p>
    <w:p>
      <w:r>
        <w:t>FR: VD_FINDINFO Arrêt / 2013 / 478 du 6 septembre 2013</w:t>
      </w:r>
    </w:p>
    <w:p>
      <w:r>
        <w:t>IT: VD_FINDINFO Arrêt / 2013 / 478 del 6 settembre 2013</w:t>
      </w:r>
    </w:p>
    <w:p>
      <w:pPr>
        <w:pStyle w:val="Heading2"/>
      </w:pPr>
      <w:r>
        <w:t>Regeste</w:t>
      </w:r>
    </w:p>
    <w:p>
      <w:r>
        <w:t>ATTEINTE À LA SANTÉ PSYCHIQUE, DROIT À LA PRESTATION D'ASSURANCE, PRESTATION D'ASSURANCE{AI}, RENTE D'INVALIDITÉ, MESURE D'ORDRE PROFESSIONNEL, ÉVALUATION DE L'INCAPACITÉ DE TRAVAIL, FACTEUR ÉTRANGER À L'INVALIDITÉ, EXPERT, RÉCUSATION | 28 al. 2 LAI, 4 LAI, 6 LPGA, 7 al. 1 LPGA, 8 al. 1 LPGA</w:t>
      </w:r>
    </w:p>
    <w:p>
      <w:pPr>
        <w:pStyle w:val="Heading2"/>
      </w:pPr>
      <w:r>
        <w:t>Erwägungen</w:t>
      </w:r>
    </w:p>
    <w:p>
      <w:r>
        <w:rPr>
          <w:b/>
        </w:rPr>
        <w:t>E. 24</w:t>
      </w:r>
    </w:p>
    <w:p>
      <w:r>
        <w:t>juin 2010, puis de 100% dès le 8 septembre 2010, date à laquelle l'assurée avait rendez-vous avec la Dresse B.________. Cette évolution favorable est confirmée par le Dr C.________ dès le 28 mars 2010, jour où il constatait déjà une amélioration de la symptomatologie dépressive, d'où une évolution qualifiée d' « assez favorable », laissant même augurer une prochaine reprise d'une activité à plein temps. De son côté, la Dresse B.________ a indiqué au Dr W.________, lors d'un consilium téléphonique le 14 juillet 2010, que les choses lui paraissaient aller en s'améliorant. Dans cette mesure, les certificats produits durant la procédure d'opposition apparaissent dénués de toute portée (certificats de la Dresse B.________ du 13 juin 2012 et du Dr C.________ du 18 juin suivant), d'autant plus qu'ils n'explicitent pas en quoi l'état de santé de la recourante ne se serait pas amélioré, voire se serait de nouveau détérioré. En outre, pour retenir une incapacité totale de travail, les Drs C.________ et B.________ se fondent essentiellement sur l'existence d'un état de stress post-traumatique, diagnostic qui, comme on vient de le voir, doit être écarté. Au reste, le Dr W.________ distingue clairement entre une évolution subjective et une évolution objective; la première lui paraît avoir été stationnaire, voire défavorable, en raison d'un sentiment de colère et de revendication de la recourante vis-à-vis de son ancien employeur, ainsi que d'une attitude régressive accompagnée de nombreuses somatisations. L'expert qualifie en revanche l'évolution objective de favorable; celle-ci, grâce à un soutien psychothérapeutique et médicamenteux approprié, devrait permettre le maintien de la capacité de travail. Il n'y a au demeurant pas d'élément susceptible d'entraver une évolution favorable. On relèvera à cet égard en particulier que S.________, le fils de la recourante, a pu bénéficier d'un suivi scolaire. b) Cela étant, il n'est pas démontré en quoi la capacité de gain de la recourante serait diminuée, lui ouvrant en cela le droit éventuel à une rente. Certes, les rapports médicaux au dossier font état d'une tristesse, de pleurs, de fatigue, d'humeur variable et d'une émotivité sans que ceux-ci représentent pour autant en eux-mêmes une limitation de la capacité de travail. La recourante ne le prétend d'ailleurs pas, invoquant plutôt à cet égard des difficultés d'ordre personnel, familial, voire culturel. Dans ce contexte, le Dr W.________ note que des éléments sortant du champ médical semblent jouer un rôle prépondérant, notamment l'absence de qualifications professionnelles et des difficultés linguistiques signalées par la recourante elle-même. Or, selon la jurisprudence (ATF 127 V 294), les facteurs psychosociaux et socioculturels ne peuvent pas être pris en considération, dès lors qu'ils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(TF 9C_144/2010 du 10 décembre 2010 consid. 4.1 et la référence). Tel n'est manifestement pas le cas en l'espèce, le Dr W.________ n'ayant retenu aucun diagnostic affectant la capacité de travail de la recourante. En retenant un trouble de l'adaptation avec humeur anxio-dépressive de gravité légère à moyenne et un trouble somatoforme douloureux, l'expert a certes mis en évidence une atteinte à la santé psychique, sans toutefois que celle-ci ne conduise à une incapacité de gain. Il suit de là que l'on peut raisonnablement exiger de l'assurée qu'elle mette à profit la capacité de travail qui lui a été reconnue (cf. TF 9C_776/2009 du 11 juin 2010 consid. 2.1 et les références). Au vrai, la recourante ne fournit aucun élément propre à mettre en doute cette exigence. Elle ne prétend pas non plus que l'activité exercée précédemment serait contre-indiquée. c) Il découle de ce qui précède que la recourante présente une capacité de travail totale dès le 8 septembre 2010, dans toute activité respectueuse de ses limitations, ce qui inclut l'activité d'ouvrière pratiquée jusqu'au 12 novembre 2009. Il sied en outre de relever que le rapport d'expertise du Dr W.________ du 22 juillet 2010 – de même que son complément du 26 avril 2012 – satisfait à toutes les exigences posées par la jurisprudence pour lui conférer pleine valeur probante (cf. consid. 3c supra). Il contient une anamnèse complète, prend en considération les plaintes de l'assurée, décrit le status clinique et psychique et pose un diagnostic dûment motivé. La description du contexte médical et l'appréciation médicale sont claires. Analysant l'appréciation des médecins traitants, l'expert explique pour quels motifs il exclut un état de stress post-traumatique pour retenir des diagnostics psychiatriques, sans incidence sur la capacité de travail. Ainsi, les conclusions du Dr W.________ doivent être suivies, dès lors que le dossier constitué ne fait état d'aucun élément concret qui aurait été ignoré par l'expert. Dans cette mesure, la décision attaquée ne prête donc pas le flanc à la critique, en tant qu'elle fait sienne l'évaluation de l'expert, déniant le droit de la recourante à toute prestation de l'AI. d) Quant au motif de récusation de l'expert W.________ soulevé par la recourante, qui allègue qu'il serait le médecin-consultant de son ancien employeur et celui de l'assurance T.________, point n'est besoin de trancher cette question, attendu que c'est tardivement qu'un tel motif a été soulevé. En effet, en ne réagissant pas à la lettre que lui a adressée l'office intimé en date du 2 décembre 2011, la recourante a laissé se périmer le délai de dix jours qui lui avait été imparti à cette fin (TF 9C_268/2011 du 26 juillet 2011 consid. 6.2.2 et les références). Elle n'a pas non plus fait valoir d'arguments, expliquant pour quelles raisons elle n'aurait pas été en mesure de soulever des motifs de récusation à l'endroit de l'expert dans le délai imparti. Au surplus, la recourante ne fait état d'aucun élément objectif susceptible de mettre en doute l'impartialité du Dr W.________. Ce grief est donc de toute façon mal fondé. 5. a) En définitive, le recours, entièrement mal fondé, doit être rejeté, ce qui entraîne la confirmation de la décision querellée.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 bis LAI; art. 49 al. 1 LPA-VD). Il n'y a pas lieu d'allouer de dépens, la recourante, au demeurant non assistée de sorte qu'elle n'a pas dû engager de frais pour la défense de ses intérêts,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