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34 vom 4. Februar 2013</w:t>
      </w:r>
    </w:p>
    <w:p>
      <w:r>
        <w:t>VD Tribunal cantonal, 2013-02-04, FR</w:t>
      </w:r>
    </w:p>
    <w:p>
      <w:r>
        <w:rPr>
          <w:b/>
        </w:rPr>
        <w:t xml:space="preserve">Quelle: </w:t>
      </w:r>
      <w:r>
        <w:t>https://mcp.opencaselaw.ch/entscheid/vd_findinfo_Arr_t___2013___34</w:t>
      </w:r>
    </w:p>
    <w:p>
      <w:r>
        <w:t>FR: VD_FINDINFO Arrêt / 2013 / 34 du 4 février 2013</w:t>
      </w:r>
    </w:p>
    <w:p>
      <w:r>
        <w:t>IT: VD_FINDINFO Arrêt / 2013 / 34 del 4 febbraio 2013</w:t>
      </w:r>
    </w:p>
    <w:p>
      <w:pPr>
        <w:pStyle w:val="Heading2"/>
      </w:pPr>
      <w:r>
        <w:t>Regeste</w:t>
      </w:r>
    </w:p>
    <w:p>
      <w:r>
        <w:t>PRIVATION DE LIBERTÉ À DES FINS D'ASSISTANCE, EXPERTISE, REJET DE LA DEMANDE, ASSISTANCE JUDICIAIRE | 14 al. 1 Tit. fin. CC, 14a Tit. fin. CC, 426 CC, 450 CC, 450e CC</w:t>
      </w:r>
    </w:p>
    <w:p>
      <w:pPr>
        <w:pStyle w:val="Heading2"/>
      </w:pPr>
      <w:r>
        <w:t>Erwägungen</w:t>
      </w:r>
    </w:p>
    <w:p>
      <w:r>
        <w:rPr>
          <w:b/>
        </w:rPr>
        <w:t>E. 1</w:t>
      </w:r>
    </w:p>
    <w:p>
      <w:r>
        <w:t>Dès le 1 er janvier 2013, les mesures de protection de l'adulte sont régies par le nouveau droit de protection de l'adulte (art. 14 al. 1 Tit. fin. CC [Code civil du 10 décembre 1907; RS 210]). Toutes les procédures pendantes au 1 er janvier 2013 relèvent immédiatement des autorités compétentes en vertu du nouveau droit, y compris en deuxième instance (art. 14a al. 1 Tit. fin. CC; Reusser, Basler Kommentar, Erwachsenenschutz, 2012, n. 12 ad art. 14a Tit. fin. CC, p. 759; contra Droit de la protection de l'adulte, Guide pratique COPMA, n. 13.22, p. 298, où on lit que le droit cantonal peut  maintenir transitoirement la compétence de l'ancienne autorité). Si, comme en l'espèce, un recours est pendant à cette date, la Chambre des tutelles est immédiatement dessaisie au profit de la Chambre des curatelles. Cette nouvelle autorité décide si et dans quelle mesure la procédure doit être complétée (art. 14 a al. 3 Tit. fin. CC).</w:t>
      </w:r>
    </w:p>
    <w:p>
      <w:r>
        <w:rPr>
          <w:b/>
        </w:rPr>
        <w:t>E. 2</w:t>
      </w:r>
    </w:p>
    <w:p>
      <w:r>
        <w:t>a) Le recours est dirigé contre une décision de l'autorité tutélaire ordonnant le placement à des fins d'assistance de V.________ en application des art. 397a aCC et 398a CPC-VD (Code de procédure civile du 14 décembre 1966, RSV 270.11), celui-ci étant demeuré applicable (art. 174 CDPJ [Code de droit privé judiciaire vaudois du 12 janvier 2010, RSV 211.02]) jusqu'au 31 décembre 2012.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L'art. 398d CPC-VD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c) Interjeté en temps utile par l'intéressée elle-même, le présent recours est recevable à la forme. Il a été transmis à la Chambre des curatelles, conformé­ment à l'art. 14a Tit. fin. CC, et l'autorité de protection a été consultée, conformément à l'art. 450d CC. L'OCTP a déposé ses déterminations.</w:t>
      </w:r>
    </w:p>
    <w:p>
      <w:r>
        <w:rPr>
          <w:b/>
        </w:rPr>
        <w:t>E. 3</w:t>
      </w:r>
    </w:p>
    <w:p>
      <w:r>
        <w:t>aCC et, dans le canton de Vaud, par l'art. 398a al. 2 CPC-VD, devait être faite par l'ensemble du tribunal qui connaissait du cas, constituant non seulement un droit inhérent à la défense de l'intéressé, mais également un moyen d'élucider les faits. En l'espèce, V.________ était domi­ciliée légalement chez sa mère, à [...], lorsque l'autorité tutélaire a été saisie, de sorte que la Justice de paix du district du Jura-Nord vaudois était compétente pour prendre la décision querellée. Lors de sa séance du 4 décembre 2012, elle a procédé in corpore à l'audition de l'intéressée. Le droit d'être entendu de celle-ci a ainsi été respecté. c/aa) Les art. 397e ch. 5 aCC et 398a al. 5 CPC-VD exigeaient le concours d'experts lorsque le placement était motivé par l'état de santé de l'intéressé (FF 1977 III 33; Katz, Privation de liberté à des fins d'assistance, thèse Lausanne, 1983, pp. 94-95; JT 1987 III 12; CTUT 17 juin 2010/110). Aucune exigence précise n'était formulée quant à la personne de l'expert (FF 1977 III 37; Schnyder, Die fürsorge­rische Freiheitsentziehung, in Revue du droit de tutelle [RDT] 1979, pp. 19 ss); le Tribunal fédéral précisait toutefois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 Dans le cas présent, la décision attaquée sur fonde notamment sur un rapport de la Dresse Hélène Lasserre Bovard et d'Eric Francescotti, respectivement cheffe de clinique et psychologue expert auprès de l'UPL du CHUV. Les auteurs de ce rapport étant des spécialistes en psychiatrie et ne s'étant pas déjà prononcés, dans le cadre d'une même procédure, sur l'état de santé de l'intéressée, ils remplissent les exigences posées par la jurisprudence pour assumer la fonction d'experts. bb) La recourante remet en cause l'indépendance les experts, faisant valoir qu'ils ont également été mandatés par le Tribunal des mineurs dans le cadre de l'enquête pénale dirigée contre elle et que cette double mission n'est pas compatible. Ce moyen est infondé. Il apparaît que le but des deux expertises est différent et que les questions posées aux experts ne sont pas identiques. La cour ne voit donc pas en quoi cette double mission serait incompatible. Elle apparaît au contraire comme opportune et conforme au principe de l'économie de  procédure, ces expertises permettant d'avoir une anamnèse commune et les experts ayant une image plus complète de la situation de l'intéressée, laquelle est fondée à la fois sur le dossier civil et pénal. En cas de cumul de fonctions, il suffit, pour écarter le soupçon de partialité, que l'issue de la seconde cause ne soit pas prédéterminée, mais demeure au contraire indécise. Il faut en particulier examiner les fonctions procédurales que le juge – ou l'expert – a été appelé à exercer lors de son intervention précédente, prendre en compte les questions successives à trancher à chaque stade de la procédure et mettre en évidence leur éventuelle analogie ou leur indépendance, ainsi que l'étendue du pouvoir de décision à leur sujet (ATF 131 I 24 et réf. citées; TF 5A_591/2007 du 10 avril 2008 c. 3.2.1, in JT 2008 II 121). Le fait de mener parallèlement une expertise pénale n'est pas de nature à exercer une influence décisive sur le contenu et le sort de l'expertise civile, qui doit répondre à d'autres questions, selon un point de vue centré sur les nécessités de protection de l'expertisé. Quant au fait que la recourante n'ait pas pu, selon ses dires, nouer une relation de confiance avec les experts, il n'est pas pertinent, dès lors que le mandat d'expertise ne vise pas à établir avec l'expertisé une relation thérapeutique. cc) La recourante fait encore valoir que les premiers juges auraient dû ordonner une seconde expertise.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 4.2;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 En l'espèce, l'expertise est suffisamment complète, compréhensible et concluante. Le seul fait que son auteur ait pris à certains endroits des précautions dans le vocabulaire employé n'est pas de nature à justifier une seconde expertise. Le point de savoir si la mesure est justifiée au regard de cette expertise ou si ses conclusions en sont trop fragiles sera examiné ci-dessous. Dans ces conditions, il n'y a pas lieu d'ordonner une seconde expertise, ni à renvoyer la cause aux premiers juges pour qu'ils ordonnent la mise en œuvre d'une seconde expertise. La décision est donc formellement correcte au regard des dispositions en vigueur jusqu'au 31 décembre 2012.</w:t>
      </w:r>
    </w:p>
    <w:p>
      <w:r>
        <w:rPr>
          <w:b/>
        </w:rPr>
        <w:t>E. 3.1</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3.2</w:t>
      </w:r>
    </w:p>
    <w:p>
      <w:r>
        <w:t>Conformément à l'art. 14a al. 3 Tit. fin. CC, il sied d’examiner si la procédure doit être complétée par d'autres mesures que la consultation de l'autorité de protection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Par ailleurs, en cas de troubles psychiques, la décision doit être prise sur la base d'un rapport d'expertise (art. 450e al. 3 CC; Meier/Lukic, Introduction au nouveau droit de protection de l'adulte, 2011, n. 738, pp. 341 et 342). Si cette exigence est émise dans le sous-chapitre II intitulé "Devant l'instance judiciaire de recours", il faut considérer, pour les mêmes motifs que ceux exposés ci-dessous (c. 4b infra) en ce qui concerne l'audition de la personne concernée, qu'elle ne vaut dans le canton de Vaud qu'à l'égard de la première autorité judiciaire compétente, à savoir l'autorité de protection elle-même. Les exigences formelles posées à cet égard par le nouveau droit ne sont ainsi pas plus élevées et la procédure n’a pas besoin d’être complétée.</w:t>
      </w:r>
    </w:p>
    <w:p>
      <w:r>
        <w:rPr>
          <w:b/>
        </w:rPr>
        <w:t>E. 4</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318 al. 1 let. c ch. 2 CPC). Selon les situations, le recours sera par conséquent de nature réformatoire ou cassatoire (Guide pratique COPMA, n. 12.39, p. 290). b) Aux termes de l'art. 450e al. 4 première phrase CC, l'instance judiciaire de recours, en règle générale réunie en collège, entend la personne concernée. Cet article ne trouve logiquement pas à s'appliquer là où, comme dans le canton de Vaud, l'autorité de protection, soumise à l'art. 447 al. 2 CC, lequel prévoit que "En cas de placement à des fins d'assistance, la personne concernée est en général entendue par l'autorité de protection de l'adulte réunie en collège" , est d'emblée une autorité judiciaire. A aucun moment en effet le message (Feuille fédérale [FF] 2006 pp. 6719-6720) n'exprime l'idée que deux juges successifs devraient procéder chacun à une audition. Geiser exclut d'ailleurs claire­ment un tel cas de figure (Basler Kommentar, op. cit., n. 25 ad art. 450e CC, p. 669). Dans un arrêt récent (CCUR 11 janvier 2013/2), la Chambre des curatelles a jugé que l'art. 450e al. 4 première phrase CC devait être interprété contra litteram en ce sens que, dans le canton de Vaud, une audition n'est pas nécessaire en deuxième instance. En l'espèce, la recourante a été auditionnée personnellement par l'autorité de protection, qui dans le canton de Vaud est une autorité judiciaire (art. 4 al. 1 LVPAE [Loi d'application du droit fédéral de la protection de l'adulte et de l'enfant du 29 mai 2012, RSV 211.251]) et n'a pas sollicité d'être réentendue en deuxième instance. c) Selon l'art. 450e al. 4 deuxième phrase CC, l'instance judiciaire de recours ordonne si nécessaire la représentation de la personne concernée et lui désigne un curateur expérimenté en matière d'assistance et dans le domaine juridique. En l'espèce, rien n'indique que l'intéressée ne soit pas en mesure de défendre elle-même ses intérêts, de sorte qu'il n'est pas nécessaire de lui désigner un représentant. La décision peut dès lors être examinée sur le fond.</w:t>
      </w:r>
    </w:p>
    <w:p>
      <w:r>
        <w:rPr>
          <w:b/>
        </w:rPr>
        <w:t>E. 5</w:t>
      </w:r>
    </w:p>
    <w:p>
      <w:r>
        <w:t>a) Dans le nouveau droit,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no 668, p. 303; Guide pratique COPMA, n. 10.6, p. 245). Cet article reprend la systématique l'art. 397a aCC et les conditions matérielles du placement sont en substance les mêmes. Comme sous l'ancien droit, il convient de distinguer la cause du placement de sa condition (Deschenaux/ Steinauer, Personnes physiques et tutelle, 4 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FF 1977 III, pp. 28-29; JT 2005 III 51 c. 3a). Il s'agit là de l'application du principe de proportionnalité, qui exige que les actes étatiques soient propres à atteindre le but visé, justifiée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no 673, p. 306; Guide pratique COPMA, no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b) En l'espèce, il résulte clairement du rapport d'expertise établi le 30 octobre 2012 par la Dresse Lasserre Bovard et le psychologue Francescotti de l'UPL que la recourante souffre d'une grave patholo­gie psychiatrique du spectre de la schizophrénie, s'assimilant au type paranoïde, associée à des conduites de type antisocial et une labilité émotionnelle. Si le diagnostic du spectre de schizophrénie doit encore être clarifié et précisé, il n'en demeure pas moins que la recourante présente une problématique complexe dont les manifestations peuvent notamment provenir d'une problématique post-trauma­tique complexe. La recourante peine à réguler sa consom­mation de cannabis, substance dont les effets peuvent déclencher chez elle des épisodes de décompensation. Selon les experts, la recourante, qui nécessite une prise en charge thérapeutique sous forme d'un traitement médicamen­teux ininterrompu, doit progressivement prendre conscience de sa maladie, notam­ment à travers la reconnaissance de son statut de victime de la part des interve­nants, pour s'inscrire dans un processus psychothérapeutique. Ce travail devrait pou­voir se doubler d'un volet éducatif et social afin de l'accompagner et la soutenir dans l'élaboration de ses projets futurs. Or les experts considèrent qu'il ne semble actuel­le­ment pas possible d'envisager ce type de prise en charge pluridisciplinaire autre­ment que par un placement à des fins d'assistance. Un placement en milieu hospita­lier, dans une unité sécurisée si nécessaire, permettant d'adapter le traitement médicamenteux et ensuite de travailler sur les plans thérapeutiques et éducatifs doit pouvoir être envisagé. L'OCTP a pour sa part mis en évidence les gestes d'automutilation de la recourante, ses menaces de suicide, ses comportements à risque en matière de sexualité, ses nombreuses agressions verbales et physiques envers des tiers et son incapacité à réguler sa consommation de cannabis qui engendre des épisodes de décompensation, ainsi que le transfert de la recourante à l'Hôpital de Cery ensuite de l'agression physique de deux autres patients du CPNVD le 8 janvier 2013. Il résulte certes d'une attestation du 21 décembre 2012 du Dr [...] du CPNVD que depuis son placement au centre le</w:t>
      </w:r>
    </w:p>
    <w:p>
      <w:r>
        <w:rPr>
          <w:b/>
        </w:rPr>
        <w:t>E. 10</w:t>
      </w:r>
    </w:p>
    <w:p>
      <w:r>
        <w:t>décembre 2012, la recourante s'est montrée calme et collaborante, respectant bien le programme thérapeutique mis en place, que les congés accordés pour rendre visite à son fils s'étaient bien déroulés, qu'elle n'avait pas besoin d'un traitement psychiatrique intégré aigu en milieu hospi­talier, même si la continuité d'un traitement ambulatoire, auquel la recourante devait encore adhérer, restait indiqué et qu'il faudrait lui trouver un lieu de vie adapté pour qu'elle puisse construire un projet de vie. Or ces constatations relèvent d'une observation de trop courte durée – une dizaine de jours - pour permettre une libé­ration immédiate. Si une évolution plutôt favorable peut être constatée, elle doit être relativisée par l'agression commise le 8 janvier 2013 à l'encontre de deux autres patients du CPNVD, laquelle a nécessité son transfert à l'Hôpital de Cery. Pour qu'une libération puisse intervenir, la recourante doit préalablement adhérer à un traitement ambulatoire indispensable et un lieu de vie adapté doit être trouvé, ce qui n'est en l'état pas le cas. Au vu de ce qui précède, l'existence de l'une des causes de placement à des fins d'assistance prévue à l'art. 426 CC est avérée et la recourante a, en raison de la gravité des troubles dont elle souffre, du déni dont elle fait preuve et de son refus de collaborer, besoin d'une assistance personnelle et de soins ne pouvant lui être fournis que dans un cadre institutionnel approprié à sa situation. Seuls les examens et les soins mis en place durant son placement, la coopération et l'adhé­sion de la recourante à un traitement ambulatoire et la solution d'un lieu de vie adaptée permettraient d'envisager la levée du placement. C'est donc à bon droit que les premiers juges ont ordonné le placement  à des fins d'assistance de V.________. c) La recourante fait encore valoir que le rapport d'expertise préconise un placement à la clinique pédopsychiatrique forensique de Bâle-Ville, seule unité en Suisse offrant une prise en charge psychiatrique et éducative en milieu fermé. Cette unité ne dispose cependant pas des ressources nécessaires pour accueillir des jeunes femmes, qui plus est enceinte et francophone. Cela ne signifie pas pour autant qu'un placement dans un autre établissement, tel le CPNVD ou l'Hôpital de Cery, ne serait pas approprié au sens de l'art. 397a al. 1 aCC ou de l'art. 426nCC. La loi ne définit pas ce qu'il faut entendre par établissement approprié au sens de l'art. 397a al. 1 aCC (ATF 112 II 486, JT 1989 I 571 c. 3; ATF 121 III 306, JT 1997 I 145 c. 2b sur la notion d'établissement en général). Il est généralement admis qu'un établissement doit être considéré comme approprié lorsqu'il peut y être fourni à la personne en cause l'assistance et les soins dont elle a besoin dans le cas particulier, cette assistance étant fournie sans l'assentiment ou contre la volonté de l'intéressé que l'on prive de liberté (ATF 112 II 486, JT 1989 I 571 c. 3). Il convient donc d'examiner, dans chaque cas particulier, quels sont les besoins de la personne à  placer et si la structure de l'établissement considéré et le personnel dont il dispose normalement lui permettent de répondre de façon satisfaisante aux besoins essen­tiels de celui qui y est placé pour recevoir soins et assistance (TF 5C.250/2002 du 20 novembre 2002, in RDT 2003, p. 132; ATF 114 II 213 c. 7; ATF 112 II 486, JT 1989 I 571 c. 3 et 4c). Il ne faut toutefois pas appliquer des critères trop sévères, à défaut de quoi on empêcherait totalement de nombreux placements en dépit du fait qu'au moins un des besoins primordiaux d'assistance et de soins pourrait être satisfait (ATF 112 II 486, JT 1989 I 571 c. 4c). En l'espèce, si le placement dans un établissement tel que celui préco­nisé par l'expert serait plus adéquat, cela ne signifie pas encore qu'un placement dans un établissement aux compétences psychiatriques reconnues, tel le CPNVD ou l'Hôpital de Cery, ne serait pas approprié au sens de la jurisprudence précitée. La recourante ne le prétend d'ailleurs pas. Il faut encore souligner avec l'expertise qu'il convient de rester prudent sur le caractère chronique de l'affection en raison de la dimension évolutive propre à l'adolescence. Si la recourante devait collaborer sur une durée suffisante pour per­met­tre un pronostic favorable s'agissant des traitements médicamenteux et des traitements ambulatoires nécessités par son état et si une solution de lieu de vie satisfaisante, que devra préparer l'OCTP, peut être aménagée, la nécessité de la mesure devra être réappréciée par la justice de paix, cas échéant avant même l'échéance du délai de six mois de l'art. 431 CC. 6. En conclusion, le recours interjeté par V.________ doit être rejeté et la décision de placement à des fins d'assistance confirmée. Le présent arrêt peut être rendu sans frais (art. 74a al. 4 TFJC [Tarif du 28 septembre 2010 des frais judiciaires civils, RSV 270.11.5]). La recourante V.________ a été mise au bénéfice de l'assistance judi­ciaire pour la procédure de recours par décision du 7 janvier 2013. Il résulte de la liste des opérations produite le 16 janvier 2013 que son conseil a consacré 9 heures à son recours contre le placement à des fins d'assistance et contre la tutelle instituée, et que ses débours se sont élevés à 93 fr. 40. Une indemnité correspon­dant à 7 heures de travail d'avocat au tarif horaire de 180 fr. (art. 2 al. 1 let. a RAJ, Règlement sur l'assis­tance judiciaire en matière civile, RSV 211.02.3) apparaît toute­fois suffisante au regard des difficultés de la cause, telles qu'elles se présentaient en fait et en droit. Comme l'admet le conseil d'office, ce temps et les débours doivent être partagés entre les deux procédures de recours de la recourante. On obtient ainsi une indemnité de 630 fr., à laquelle il convient d'ajouter la TVA à 8 % et 25 fr. de débours (art. 2 al. 3 RAJ). L'indemnité d'office due au conseil de la recourante pour la procédure de recours contre la décision de placement à des fins d'assistance doit ainsi être arrêtée à 707 fr. 40, débours et TVA compris. Par ces motifs, la Chambre des curatelles du Tribunal cantonal, statuant à huis clos, prononce : I. Le recours est rejeté. II. La décision de placement à des fins d'assistance est confirmée. III. L'arrêt est rendu sans frais. IV. L'indemnité d'office de Me Yann Jaillet, conseil de la recourante V.________, est arrêtée à 707 fr. 40 (sept cent sept francs et quarante centimes), TVA et débours compris. V. La bénéficiaire de l'assistance judiciaire est, dans la mesure de l'art. 123 CPC, tenue au remboursement de l'indemnité au conseil d'office mise à la charge de l'Etat. VI. L'arrêt est exécutoire. Le président :              La greffière : Du L'arrêt qui précède, dont la rédaction a été approuvée à huis clos, est notifié à : ‑ Me Yann Jaillet (pour V.________), ‑ M. Frédéric Vuissoz, chef de l'Office des curatelles et tutelles professionnelles,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