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281 vom 24. Juni 2013</w:t>
      </w:r>
    </w:p>
    <w:p>
      <w:r>
        <w:t>VD Tribunal cantonal, 2013-06-24, FR</w:t>
      </w:r>
    </w:p>
    <w:p>
      <w:r>
        <w:rPr>
          <w:b/>
        </w:rPr>
        <w:t xml:space="preserve">Quelle: </w:t>
      </w:r>
      <w:r>
        <w:t>https://mcp.opencaselaw.ch/entscheid/vd_findinfo_Arr_t___2013___281</w:t>
      </w:r>
    </w:p>
    <w:p>
      <w:r>
        <w:t>FR: VD_FINDINFO Arrêt / 2013 / 281 du 24 juin 2013</w:t>
      </w:r>
    </w:p>
    <w:p>
      <w:r>
        <w:t>IT: VD_FINDINFO Arrêt / 2013 / 281 del 24 giugno 2013</w:t>
      </w:r>
    </w:p>
    <w:p>
      <w:pPr>
        <w:pStyle w:val="Heading2"/>
      </w:pPr>
      <w:r>
        <w:t>Regeste</w:t>
      </w:r>
    </w:p>
    <w:p>
      <w:r>
        <w:t>INDEMNITÉ POUR ATTEINTE À L'INTÉGRITÉ, FORCE PROBANTE, ÉVALUATION DE L'ATTEINTE À LA SANTÉ, ATTEINTE À L'INTÉGRITÉ | 29 al. 2 Cst., 24 al. 1 LAA, 25 al. 1 LAA, 25 LAA, 42 LPGA, 3 OLAA, 36 OLAA</w:t>
      </w:r>
    </w:p>
    <w:p>
      <w:pPr>
        <w:pStyle w:val="Heading2"/>
      </w:pPr>
      <w:r>
        <w:t>Erwägungen</w:t>
      </w:r>
    </w:p>
    <w:p>
      <w:r>
        <w:rPr>
          <w:b/>
        </w:rPr>
        <w:t>E. 24</w:t>
      </w:r>
    </w:p>
    <w:p>
      <w:r>
        <w:t>juin 2013 __________________ Présidence de               Mme Di Ferro Demierre , juge unique Greffier : M.              Bohrer ***** Cause pendante entre : K.________ , à [...], recourant, et Caisse nationale suisse d'assurance en cas d'accidents , à Lucerne, intimée, représentée par Me Didier Elsig, avocat à Lausanne _______________ Art.</w:t>
      </w:r>
    </w:p>
    <w:p>
      <w:r>
        <w:rPr>
          <w:b/>
        </w:rPr>
        <w:t>E. 29</w:t>
      </w:r>
    </w:p>
    <w:p>
      <w:r>
        <w:t>avril 2010 consid. 2.1) et n'est admissible que dans l'hypothèse d'une atteinte qui n'est pas particulièrement grave aux droits procéduraux de l’assuré (ATF 124 V 180 consid. 4b ; TF 1C_104/2010 du 29 avril 2010 consid. 2.1).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(ATF 136 V 117 consid. 4.2.2.2, 133 I 201 consid. 2.2). En procédure administrative, l'art. 42 LPGA consacre, de façon générale, le droit d'être entendu, mais permet aux autorité administratives d'en faire abstraction lorsque la décision à rendre est soumise à la procédure d'opposition (TFA C_185/01 du 26 octobre 2004). b) En l'occurrence, le recourant estime que le rapport du Dr S.________ ne chiffre pas le pourcentage de l'IPAI et n'explique pas comment la répartition à raison de 10% pour l'accident de 1992 et 5% pour l'accident de 2009 a été effectuée. Le recourant relève ainsi que ni la décision initiale du 7 juin 2011, ni la décision entreprise du 11 juillet 2011 n'explicitent ces éléments, ce qu'il ne lui permet pas de se déterminer. D'emblée, il convient de considérer que le grief du recourant tombe à faux. On soulignera que la décision du 7 juin 2011 se réfère expressément à l'examen final du Dr S.________. Or, les explications du Dr S.________ dans son rapport médical final du 17 mai 2011 fournissent toutes les informations nécessaires pour comprendre ses conclusions et la justification du taux d'IPAI qu'il retient. On voit mal dans ces conditions comment le recourant pourrait ne pas être en mesure de se déterminer à satisfaction sur la position de la CNA, d'autant plus qu'il avait la possibilité, au besoin, d'agir dans le cadre de la procédure d'opposition. Par surabondance, on soulignera que le recourant jouissait de la possibilité de s'exprimer librement devant l'autorité de céans dans la mesure où celle-ci dispose du même pouvoir d'examen que l'intimée et peut ainsi contrôler librement l'état de fait et les considérations juridiques de la décision entreprise. A ce titre, on relèvera que le recourant a fait usage de cette possibilité et a fait connaître ses griefs contre la décision litigieuse en pleine connaissance du dossier de sorte que son droit d'être entendu a été respecté dans tous les cas. Ainsi, même s'il devait être admis une violation du droit d'être entendu du recourant par l'intimée, ce que l'autorité de céans ne retient pas, ce vice serait réparé dans le cadre de la présente procédure. 6. Il résulte de ce qui précède que le recours doit être rejeté et la décision sur opposition rendue par la CNA le 11 juillet 2011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le recourant n'obtenant pas gain de cause (art. 61 let. g LPGA et 55 LPA-VD). Par ces motifs, la juge unique prononce prononce : I. Le recours est rejeté. II. La décision sur opposition rendue le 11 juillet 2011 par la Caisse nationale d’assurance en cas d’accident est confirmée. III. Il n’est pas perçu de frais judiciaire ni alloué de dépens. La juge unique :               Le greffier : Du L'arrêt qui précède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