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211 vom 11. Februar 2013</w:t>
      </w:r>
    </w:p>
    <w:p>
      <w:r>
        <w:t>VD Tribunal cantonal, 2013-02-11, FR</w:t>
      </w:r>
    </w:p>
    <w:p>
      <w:r>
        <w:rPr>
          <w:b/>
        </w:rPr>
        <w:t xml:space="preserve">Quelle: </w:t>
      </w:r>
      <w:r>
        <w:t>https://mcp.opencaselaw.ch/entscheid/vd_findinfo_Arr_t___2013___211</w:t>
      </w:r>
    </w:p>
    <w:p>
      <w:r>
        <w:t>FR: VD_FINDINFO Arrêt / 2013 / 211 du 11 février 2013</w:t>
      </w:r>
    </w:p>
    <w:p>
      <w:r>
        <w:t>IT: VD_FINDINFO Arrêt / 2013 / 211 del 11 febbraio 2013</w:t>
      </w:r>
    </w:p>
    <w:p>
      <w:pPr>
        <w:pStyle w:val="Heading2"/>
      </w:pPr>
      <w:r>
        <w:t>Regeste</w:t>
      </w:r>
    </w:p>
    <w:p>
      <w:r>
        <w:t>CURATELLE, INTERDICTION | 398 CC, 40 al. 2 LVPAE</w:t>
      </w:r>
    </w:p>
    <w:p>
      <w:pPr>
        <w:pStyle w:val="Heading2"/>
      </w:pPr>
      <w:r>
        <w:t>Erwägungen</w:t>
      </w:r>
    </w:p>
    <w:p>
      <w:r>
        <w:rPr>
          <w:b/>
        </w:rPr>
        <w:t>E. 1</w:t>
      </w:r>
    </w:p>
    <w:p>
      <w:r>
        <w:t>Dès le 1 er janvier 2013, les mesures de protection de l'adulte sont régies par le nouveau droit de protection de l'adulte (art. 14 al. 1 Tit. fin. CC). Toutes les procédures pendantes à cette date relèvent immédiatement des autorités compétentes en vertu du nouveau droit, y compris en deuxième instance (art. 14a al. 1 Tit. fin. CC; Reusser, Basler Kommentar, Erwachsenenschutz, 2012, n. 12 ad art. 14a Tit. fin. CC). Si, comme en l'espèce, un recours est pendant à cette date, la Chambre des tutelles est immédiatement dessaisie au profit de la Chambre des curatelles. Cette nouvelle autorité décide si et dans quelle mesure la procédure doit être complétée (art. 14 a al. 3 Tit. fin. CC).</w:t>
      </w:r>
    </w:p>
    <w:p>
      <w:r>
        <w:rPr>
          <w:b/>
        </w:rPr>
        <w:t>E. 2</w:t>
      </w:r>
    </w:p>
    <w:p>
      <w:r>
        <w:t>a) Le recours est dirigé contre une décision de l'autorité tutélaire instituant une mesure de tutelle à forme de l'art. 369 aCC, respectivement une curatelle de portée générale de l'art. 398 CC, en faveur de Q.________. b) 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Selon l'art. 393 aCPC-VD (Code de procédure civile du 14 décembre 1966), demeuré applicable jusqu'au 31 décembre 2012 (art. 174 CDPJ [Code de droit privé judiciaire vaudois du 12 janvier 2010, RSV 211.02]), les jugements rendus par la justice de paix en matière d'interdiction pouvaient faire l'objet d'un appel au Tribunal cantonal, soit à la Chambre des tutelles (art. 76 al. 2 LOJV [loi d'organisation judiciaire du 12 décembre 1979, RSV 173.01]), dans les dix jours dès leur notification. L'appel était ouvert au dénoncé, au dénonçant ainsi qu'au Ministère public. c) Interjeté en temps utile par l'intéressée elle-même, le présent recours est recevable à la forme. Il a été transmis à la Chambre des curatelles, conformément à l'art. 14a Tit. fin. CC.</w:t>
      </w:r>
    </w:p>
    <w:p>
      <w:r>
        <w:rPr>
          <w:b/>
        </w:rPr>
        <w:t>E. 3</w:t>
      </w:r>
    </w:p>
    <w:p>
      <w:r>
        <w:t>aCC (al. 3). Si le dénoncé consentait à la mesure, il en était fait mention au procès-verbal (al. 4). La décision de la justice de paix était motivée (al. 5). L'interdit devait être entendu. Cette règle n'était expressément prévue que pour les cas d'interdiction fondés sur l'art. 370 aCC (art. 374 al. 1 aCC); elle avait cependant une portée générale et s'appliquait également aux cas d'interdiction pour cause de maladie mentale et de faiblesse d'esprit lorsque le rapport d'expertise déclarait l'audition de l'intéressé admissible (ATF 117 II 379 c. 2; TF 5A_457/2010 du 11 octobre 2010 c. 2.1; Deschenaux/Steinauer, op. cit., n. 902, p. 351; Poudret/ Haldy/Tappy, op. cit., n. 1 ad art. 381 aCPC-VD, p. 591). En l'espèce, Q.________ était domiciliée à Chailly-Montreux, lorsque l'autorité tutélaire a été saisie, de sorte que la Justice de paix du district de la Riviera – Pays-d'Enhaut était compétente pour prendre la décision querellée. La Juge de paix a ouvert une enquête en interdiction civile le 4 juillet 2011 après avoir entendu l'intéressée et ordonné une expertise médicale. Elle a ensuite soumis ce rapport au Conseil de santé qui a déclaré ne pas avoir d'observations à formuler. La Municipalité de Montreux a déclaré qu'elle ne voyait pas d'objection à l'encontre de l'interdiction civile dirigée contre l'intéressée. Au terme de l'enquête, la Juge de paix a déféré la cause à la Justice de paix qui a procédé in corpore à l'audition de l'intéressée, lors de sa séance du 3 octobre 2012. Son droit d'être entendue a ainsi été respecté. La décision est donc formellement correcte au regard des dispositions en vigueur jusqu'au 31 décembre 2012. c) Conformément à l'art. 14a al. 3 Tit. fin. CC, il sied d’examiner si la procédure doit être complétée par d'autres mesures en raison des exigences de procédure posées par les nouvelles dispositions du Code civil immédiatement applicables (art. 14 al. 1 Tit. fin. CC). Il découle des art. 442 al. 1 et 447 al. 2 CC que la personne concernée doit être entendue par l'autorité de protection de son domicile réunie en collège. Si nécessaire, l'autorité de protection ordonnera une expertise (art. 446 al. 2 in fine), en particulier pour déterminer l'existence d'un trouble psychique ou d'une déficience mentale pour l'institution d'une curatelle fondée sur l'art. 390 al. 1 ch. 1 CC (Meier/Lukic, Introduction au nouveau droit de protection de l'adulte, Zurich 2011, n. 109, p. 50). Les exigences formelles posées par le nouveau droit ne sont ainsi pas plus élevées et la décision n'a pas besoin d'être complétée.</w:t>
      </w:r>
    </w:p>
    <w:p>
      <w:r>
        <w:rPr>
          <w:b/>
        </w:rPr>
        <w:t>E. 4</w:t>
      </w:r>
    </w:p>
    <w:p>
      <w:r>
        <w:t>aLVCC applicable jusqu'au 31 décembre 2012, consacre la distinction légale entre les mandats de protection pouvant être confiés à des curateurs ou tuteurs privés (al. 1, "cas simples" ou "cas légers") et ceux pouvant être attribués à l'entité de curateurs et tuteurs professionnels (al. 2, "cas lourds"). Aux termes de l’art. 40 al. 2 LVPAE, sont en principe confiés à l'entité de curateurs et tuteurs professionnels les mandats de protection présentant à l’évidence les caractéristiques suivantes : problèmes de dépendance liés aux drogues dures (let. a); tout autre problème de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cc) En l'espèce, on constate que les conditions de l'art. 40 al. 2 let. c LVPAE sont remplies. Le besoin d'aide porte en effet sur une maladie psychique non stabilisée chez une personne anosognosique et non compliante et comprend en particulier l’examen du caractère nécessaire de son entrée en EMS. C'est ainsi à bon droit que les premiers juges ont désigné le Tuteur général en qualité de tuteur, désormais curateur. Il appartiendra à l'autorité de protection de nommer un collaborateur de l'Office des curateurs et tuteurs professionnels, sur proposition de ce dernier (art. 41 al. 2 LVPAE).</w:t>
      </w:r>
    </w:p>
    <w:p>
      <w:r>
        <w:rPr>
          <w:b/>
        </w:rPr>
        <w:t>E. 5</w:t>
      </w:r>
    </w:p>
    <w:p>
      <w:r>
        <w:t>L'art. 375 aCC, qui prévoyait la publication des interdictions passées en force, a été abrogé avec effet au 31 décembre 2012 pour laisser place au système prévu par les art. 451 ss CC. Le législateur n'a pas repris le système de la publication des mesures de protection dans le nouveau droit de la protection de l'adulte (Meier/Lukic, op. cit., n. 388, p. 185). Dans ces circonstances, il y a lieu de supprimer d'office la publication des chiffres II et III du dispositif de la décision entreprise, soit le chiffre VIII de cette dernière.</w:t>
      </w:r>
    </w:p>
    <w:p>
      <w:r>
        <w:rPr>
          <w:b/>
        </w:rPr>
        <w:t>E. 6</w:t>
      </w:r>
    </w:p>
    <w:p>
      <w:r>
        <w:t>a) En définitive, le recours doit être rejeté et la décision entreprise confirmée. Le chiffre VIII de son dispositif est réformé d'office en ce sens qu'une publication dans la Feuille des avis officiels n'est pas ordonnée. b) Le présent arrêt peut être rendu sans frais (art. 74a al. 4 TFJC [tarif du 28 septembre 2010 des frais judiciaires civils, RSV 270.11.5]). Par ces motifs, la Chambre des curatelles du Tribunal cantonal, statuant à huis clos, prononce : I. Le recours est rejeté. II. Le chiffre VIII du dispositif est réformé d'office en ce sens qu'une publication dans la Feuille des avis officiels n'est pas ordonnée. III. La décision est confirmée pour le surplus. IV. L'arrêt est rendu sans frais. V. L'arrêt motivé est exécutoire. Le président :              La greffière : Du</w:t>
      </w:r>
    </w:p>
    <w:p>
      <w:r>
        <w:rPr>
          <w:b/>
        </w:rPr>
        <w:t>E. 11</w:t>
      </w:r>
    </w:p>
    <w:p>
      <w:r>
        <w:t>février 2013 Le dispositif de l'arrêt qui précède est communiqué par écrit aux intéressés. La greffière : Du L'arrêt qui précède, dont la rédaction a été approuvée à huis clos, est notifié à : ‑ Q.________, ‑ Office des curatelles et tutelles professionnelles, et communiqué à : ‑ Justice de paix du district de La Riviera – Pays 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