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159 vom 2. April 2013</w:t>
      </w:r>
    </w:p>
    <w:p>
      <w:r>
        <w:t>VD Tribunal cantonal, 2013-04-02, FR</w:t>
      </w:r>
    </w:p>
    <w:p>
      <w:r>
        <w:rPr>
          <w:b/>
        </w:rPr>
        <w:t xml:space="preserve">Quelle: </w:t>
      </w:r>
      <w:r>
        <w:t>https://mcp.opencaselaw.ch/entscheid/vd_findinfo_Arr_t___2013___159</w:t>
      </w:r>
    </w:p>
    <w:p>
      <w:r>
        <w:t>FR: VD_FINDINFO Arrêt / 2013 / 159 du 2 avril 2013</w:t>
      </w:r>
    </w:p>
    <w:p>
      <w:r>
        <w:t>IT: VD_FINDINFO Arrêt / 2013 / 159 del 2 aprile 2013</w:t>
      </w:r>
    </w:p>
    <w:p>
      <w:pPr>
        <w:pStyle w:val="Heading2"/>
      </w:pPr>
      <w:r>
        <w:t>Regeste</w:t>
      </w:r>
    </w:p>
    <w:p>
      <w:r>
        <w:t>TUTELLE, REJET DE LA DEMANDE, AFFECTION PSYCHIQUE | 14 al. 1 Tit. fin. CC, 14a Tit. fin. CC, 390 al. 1 ch. 1 CC, 398 CC, 450 CC</w:t>
      </w:r>
    </w:p>
    <w:p>
      <w:pPr>
        <w:pStyle w:val="Heading2"/>
      </w:pPr>
      <w:r>
        <w:t>Erwägungen</w:t>
      </w:r>
    </w:p>
    <w:p>
      <w:r>
        <w:rPr>
          <w:b/>
        </w:rPr>
        <w:t>E. 1</w:t>
      </w:r>
    </w:p>
    <w:p>
      <w:r>
        <w:t>Dès le 1 er janvier 2013, les mesures de protection de l'adulte sont régies par le nouveau droit de protection de l'adulte (art. 14 al. 1 Tit. fin. CC [Code civil du 10 décembre 1907; RS 210]). Toutes les procédures pendantes au 1 er janvier 2013 relèvent immédiatement des autorités compétentes en vertu du nouveau droit, y compris en deuxième instance (art. 14a al. 1 Tit. fin. CC;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 a al. 3 Tit. fin. CC).</w:t>
      </w:r>
    </w:p>
    <w:p>
      <w:r>
        <w:rPr>
          <w:b/>
        </w:rPr>
        <w:t>E. 2</w:t>
      </w:r>
    </w:p>
    <w:p>
      <w:r>
        <w:t>a) Le recours est dirigé contre une décision de l'autorité tutélaire instituant une mesure de tutelle à forme de l'art. 369 aCC, respectivement une curatelle de portée générale de l'art. 398 CC, en faveur de P.________.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Selon l'art. 393 CPC-VD (Code de procédure civile du 14 dé­cem­­bre 1966, RSV 270.11), demeuré applicable jusqu'au 31 décembre 2012 (art. 174 CDPJ [Code de droit privé judiciaire vaudois du 12 janvier 2010, RSV 211.02]), les jugements rendus par la justice de paix en matière d'interdiction pouvaient faire l'objet d'un appel au Tribunal cantonal, soit à la Chambre des tutelles (art. 76 al. 2 LOJV, Loi d'organisation judiciaire du 12 décembre 1979, RSV 173.01), dans les dix jours dès leur notification. L'appel était ouvert au dénoncé, au dénonçant ainsi qu'au Ministère public. c) Interjeté en temps utile par l'intéressée elle-même, le présent appel, respectivement recours selon la dénomination du nouveau droit, est recevable à la forme. Il a été transmis à la Chambre des curatelles, conformé­ment à l'art. 14a Tit. fin. CC. Le recours étant manifestement mal fondé pour les motifs développés dans les considérants ci-après, il a été renoncé à consulter l'auto­rité de protection (cf. art. 450d al. 1 CC; Reusser, op. cit., nn. 6 ss ad art. 450d CC, pp 657-658).</w:t>
      </w:r>
    </w:p>
    <w:p>
      <w:r>
        <w:rPr>
          <w:b/>
        </w:rPr>
        <w:t>E. 3</w:t>
      </w:r>
    </w:p>
    <w:p>
      <w:r>
        <w:t>e éd., Lausan­ne 2002, nn. 3 et 4 ad art. 492 CPC-VD, p. 763, point de vue qui demeure valable sous l'empire du nouveau droit). bb) Jusqu'au 31 décembre 2012, la procédure en matière d'interdiction était régie, dans le canton de Vaud, par les art. 379 ss CPC-VD, sous réserve des règles de procédure fédérale définies aux art. 373 à 375 aCC. Selon l'art. 379 al. 1 CPC-VD, les dénonciations à fin d'interdiction éma­nant d'une autorité administrative ou judiciaire et les demandes d'interdiction formées par les particuliers étaient adressées à la justice de paix du domicile de la personne à interdire. Cette règle correspondait à la norme fédérale régissant le for tutélaire (art. 376 al. 1 aCC). Le domicile au moment de l'introduction de la procédure en interdiction était décisif (Deschenaux/Steinauer, Personnes physiques et tutelle, 4 e éd., 2001, n. 892a, p. 348). Aux termes de l'art. 380 CPC-VD, le juge de paix procédait, avec l'as­sis­­tance du greffier, à une enquête afin de préciser et de vérifier les faits qui pou­vaient provoquer l'interdiction. A ce titre, il recueillait toutes les preuves utiles (al. 1). Il entendait la partie dénonçante et le dénoncé qui pouvaient requérir des mesures d'instruction complémentaires. Il entendait toute personne dont le témoignage lui paraissait utile. Les dépositions étaient résumées au procès-verbal de l'audience dans ce qu'elles avaient d'utile à retenir (al. 2). Le juge de paix sollicitait l'avis de la municipalité du domicile du dénoncé (al. 3). Si l'interdiction était demandée pour cause de maladie mentale ou de faiblesse d'esprit, le juge ordonnait, après avoir, sauf exception, entendu le dénoncé, une expertise médicale, confiée à un expert qui entendait le dénoncé. Le juge n'entendait pas le dénoncé lorsque, fondé sur l'expertise médicale, il tenait l'audition pour inadmissible ou manifestement inutile. Ce rapport était soumis au Conseil de santé (al. 5). Selon l'art. 382 CPC-VD, l'enquête terminée, le juge de paix la soumettait à la justice de paix qui pouvait ordonner un complément d'enquête (al. 1). La justice de paix entendait le dénoncé, l'art. 380 al. 5 CPC-VD étant réservé (al. 2). Si la justice de paix estimait cette mesure justifiée, elle rendait un prononcé d'inter­dic­tion et nommait le tuteur ou plaçait l'interdit sous autorité parentale en conformité à l'art. 385 al. 3 aCC (al. 3).  Si le dénoncé consentait à la mesure, il en était fait mention au procès-verbal (al. 4). La décision de la justice de paix était motivée (al. 5). L'interdit devait être entendu. Cette règle n'était expressément prévue que pour les cas d'interdiction fondés sur l'art. 370 aCC (art. 374 al. 1 aCC); elle avait cependant une portée générale et s'appliquait également aux cas d'interdiction pour cause de maladie mentale et de faiblesse d'esprit lorsque le rapport d'expertise déclarait l'audition de l'intéressé admissible (ATF 117 II 379 c. 2; TF 5A_457/2010 du 11 octobre 2010 c. 2.1; Deschenaux/Steinauer, op. cit., n. 902, p. 351; Poudret/ Haldy/Tappy, op. cit., n. 1 ad art. 381 CPC-VD, p. 591). cc) En l'espèce, P.________ était domi­ciliée à [...] lorsque l'autorité tutélaire a été saisie, de sorte que la Justice de paix du district de Morges était compétente pour prendre la décision querellée. Le juge de paix a ouvert une enquête en interdiction civile le 11 octobre 2011 et ordonné une expertise médi­cale. Il a ensuite soumis ce rapport au Conseil de santé qui a déclaré ne pas avoir d'observation à formuler. Le juge de paix n'a pas sollicité le préavis de la Municipalité de [...]. Il n'y a toutefois pas lieu de guérir ce vice dans le cadre de la procédure de recours, le nouveau droit n'exigeant plus un tel préavis. Au terme de l'enquête, le juge de paix a déféré la cause à la justice de paix qui a procédé in corpore à l'audition de l'intéressée lors de sa séance du 12 décembre 2012. Son droit d'être enten­due a ainsi été respecté. La décision est donc formellement correcte au regard des dispositions en vigueur jusqu'au 31 décembre 2012. b) Conformément à l'art. 14a al. 3 Tit. fin. CC, il sied d’examiner si la procédure doit être complétée par d'autres mesures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Si nécessaire, l'autorité de protection ordonnera une expertise (art. 446 al. 2 in fine), en particulier pour déterminer l'existence d'un trouble psychique ou d'une déficience mentale pour l'institution d'une curatelle fondée sur l'art. 390 al. 1 ch. 1 CC (Meier/Lukic, Introduction au nouveau droit de protection de l'adulte, 2011, n. 109, p. 50). Les exigences formelles posées par le nouveau droit ne sont ainsi pas plus élevées et la décision n'a pas besoin d'être complétée.</w:t>
      </w:r>
    </w:p>
    <w:p>
      <w:r>
        <w:rPr>
          <w:b/>
        </w:rPr>
        <w:t>E. 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318 al. 1 let. c ch. 2 CPC). Selon les situations, le recours sera par conséquent de nature réformatoire ou cassatoire (Guide pratique COPMA, n. 12.39, p. 290). Le nouveau droit n'exige pas d'audience de débats ni l'audition de la partie en instance de recours, cette dernière pouvant soit ordonner des débats, soit statuer sur pièces (art. 316 al. 1 CPC, applicable par renvoi de l'art. 450f CC et art. 20 LVPAE (Loi d'application du droit fédéral sur la protection de l'adulte et de l'enfant du 29 mai 2012, RSV 211.255). La Chambre des curatelles peut ainsi statuer sur pièces. La décision peut dès lors être examinée sur le fond.</w:t>
      </w:r>
    </w:p>
    <w:p>
      <w:r>
        <w:rPr>
          <w:b/>
        </w:rPr>
        <w:t>E. 5</w:t>
      </w:r>
    </w:p>
    <w:p>
      <w:r>
        <w:t>a) La recourante conteste la curatelle de portée générale instituée en sa faveur, faisant valoir en substance qu'elle était une personne responsable et capable de discernement, qu'elle avait des responsabilités professionnelles en qualité d'assis­tante en gestion du personnel, qu'elle pouvait s'autogérer financièrement, qu'elle avait passé différents arrangements avec ses créanciers, qu'elle payait ses factures, que seule la pension de sa fille était en suspens et qu'elle ne souffrait d'aucun trouble psychique. b) Les premiers juges ont prononcé une interdiction civile à forme de l'art. 369 aCC, mesure convertie de par la loi en une curatelle de portée générale au sens de l'art. 398 CC dès le 1 er janvier 2013. Dès lors que le nouveau droit est immédiatement applicable aux procédures pendantes, y compris en deuxième instance (art. 14 al. 1 Tit. fin. CC), il y a lieu d'examiner exclusivement si la mesure de curatelle de portée générale instituée est justifiée. Selon l'art. 390 al. 1 CC,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(al.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reconnues en psychiatrie, soit les psychoses et les psychopathies ayant des causes physiques ou non, ainsi que les démences. La notion vise également les dépendances, en particulier la toxicomanie, l'alcoolisme et la pharmacodépendance (Meier/Lukic, op. cit., n. 400, p. 191;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L'art. 398 CC prévoit que la curatelle de portée générale est instituée lorsqu'une personne a particulièrement besoin d'aide, en raison notamment d'une incapacité durable de discernement (al. 1). Elle couvre tous les domaines de l'assistance personnelle, de la gestion du patrimoine ou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 231).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191; Henkel, Basler Kommentar, Erwachsenenschutz, 2012, n. 10 ad art.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Cette exigence renforcée complète les conditions générales de l'art. 390 CC (Meier/Lukic, op. cit., n. 510, p. 230). L'incapacité de discernement n'est mentionnée qu'à titre d'exemple et ne saurait être comprise comme une condition stricte d'institution d'une mesure de curatelle de portée générale (Guide pratique COPMA, n. 5.51, p. 155). Pour apprécier le besoin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op. cit., n. 12 ad art. 398 CC, p. 270). d) En l'espèce, il résulte clairement du rapport d'expertise établi le 5 octo­bre 2012 par le Dr [...] et la Dresse [...] de l'Hôpital [...] que la recourante, qui se dit victime d'usurpation d'identité et de cybercriminalité, souffre d'un trouble délirant persistant de type persécutoire d'intensité sévère. Le système délirant qu'elle a construit, qui est impénétrable à tout raison­ne­ment logique et contient une importante composante quérulente, implique un dysfonctionnement psychique avec l'impossibilité de distinguer la réalité du délire. Le trouble mental sévère dont elle souffre altère son raisonnement, son jugement de la réalité et sa capacité de discernement. La sévérité de son trouble a un impact important dans sa vie quotidienne dès lors qu'elle investit une bonne partie de son temps à détruire son persécuteur par des plaintes pénales, des lettres, des procédures et des recherches, et qu'elle néglige ses relations personnelles et ses devoirs administratifs. Les experts qui se sont prononcés n'ont certes pas eu accès aux docu­ments qui auraient permis une hétéro-anamnèse, mais ils se sont prononcés après s'être entretenus à trois reprises avec la recourante. Au vu de cette expertise, la cause et la condition d'une curatelle de portée générale sont manifestement réali­sées. L'af­fec­tion diagnostiquée constitue à l'évidence des trou­bles psychiques au sens de l'art. 390 al. 1 ch. 1 CC et le besoin particulier d'aide de la recourante est avéré. Il apparaît en effet que la recourante, qui est dans le déni total de sa maladie, ne peut adhérer à un suivi psychothérapeutique régulier et à un traitement pharma­co­logique en raison de son anosognosie, qu'elle a également besoin d'un soutien sur le plan social, administratif et médical, et qu'elle n'est pas en mesure de gérer seule ses affaires personnelles sans les compromettre. De par l'étendue de l'aide néces­sitée par l'état de santé de l'intéressée, seule une mesure de curatelle de portée générale est susceptible de répondre à l'ensemble de ses besoins, une mesure moins incisive paraissant d'em­blée insuffisante pour la protéger contre les conséquences de sa pathologie. C'est donc à bon droit que les premiers juges ont institué une mesure de curatelle de portée générale en faveur de P.________. Au demeurant, comme l'ont relevé les experts, si la mesure de curatelle de portée générale s'avère dans un premier temps indispensable, la situation de la recourante pourrait tout à fait se stabiliser avec un traitement thérapeutique. Il appartiendra alors à l'autorité de protection de réexaminer la situation de P.________ et d'envisager, cas échéant, l'institution d'une mesure moins incisive.</w:t>
      </w:r>
    </w:p>
    <w:p>
      <w:r>
        <w:rPr>
          <w:b/>
        </w:rPr>
        <w:t>E. 6</w:t>
      </w:r>
    </w:p>
    <w:p>
      <w:r>
        <w:t>La justice de paix a ordonné la publication des chiffres III et IV du dispositif de sa décision relatifs au prononcé de la mesure et à la désignation d'un curateur dans la FAO. Bien que la recourante n'émette aucun grief spécifique sur ce point, il appartient à la cour de céans d'examiner d'office son bien-fondé (cf. supra ch. 4). L'art. 375 aCC, qui prévoyait la publication des interdictions passées en force, a été abrogé avec effet au 31 décembre 2012 pour laisser place au système prévu par les art. 451 ss CC. Le législateur n'a pas repris le système de la publication des mesures de protection dans le nouveau droit de la protection de l'adulte (Meier/Lukic, op. cit., n. 388, p. 185; Guide COPMA, n. 599, p. 176). Ainsi la curatelle de portée générale n'est jamais publiée (Henkel, op. cit., n. 8 ad art. 398 CC, p. 269). Dans ces circonstances, il y a lieu de réformer d'office la décision querellée et de supprimer le chiffre VII du dispositif.</w:t>
      </w:r>
    </w:p>
    <w:p>
      <w:r>
        <w:rPr>
          <w:b/>
        </w:rPr>
        <w:t>E. 7</w:t>
      </w:r>
    </w:p>
    <w:p>
      <w:r>
        <w:t>En conclusion, le recours interjeté par P.________, manifestement mal fondé, doit être rejeté et la curatelle de portée générale instituée confirmée, la déci­sion entreprise étant réformée d'office en ce sens que le chiffre VII du dispositif est supprimé. Le présent arrêt peut être rendu sans frais (art. 74a al. 4 TFJC [Tarif du 28 septembre 2010 des frais judiciaires civils, RSV 270.11.5]). Par ces motifs, la Chambre des curatelles du Tribunal cantonal, statuant à huis clos, prononce : I. Le recours est rejeté. II. La décision est réformée d'office au chiffre VII de son dispositif comme suit : VII. Supprimé. La décision est confirmée pour le surplus. III. L'arrêt est rendu sans frais judiciaires. IV. L'arrêt est exécutoire. Le président :              La greffière : Du L'arrêt qui précède, dont la rédaction a été approuvée à huis clos, est notifié à : ‑ Mme P.________, ‑ M. Z.________, assistant social auprès de l'Office des curatelles et tutelles professionnelles,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