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103 vom 20. Dezember 2012</w:t>
      </w:r>
    </w:p>
    <w:p>
      <w:r>
        <w:t>VD Tribunal cantonal, 2012-12-20, FR</w:t>
      </w:r>
    </w:p>
    <w:p>
      <w:r>
        <w:rPr>
          <w:b/>
        </w:rPr>
        <w:t xml:space="preserve">Quelle: </w:t>
      </w:r>
      <w:r>
        <w:t>https://mcp.opencaselaw.ch/entscheid/vd_findinfo_Arr_t___2013___103</w:t>
      </w:r>
    </w:p>
    <w:p>
      <w:r>
        <w:t>FR: VD_FINDINFO Arrêt / 2013 / 103 du 20 décembre 2012</w:t>
      </w:r>
    </w:p>
    <w:p>
      <w:r>
        <w:t>IT: VD_FINDINFO Arrêt / 2013 / 103 del 20 dicembre 2012</w:t>
      </w:r>
    </w:p>
    <w:p>
      <w:pPr>
        <w:pStyle w:val="Heading2"/>
      </w:pPr>
      <w:r>
        <w:t>Regeste</w:t>
      </w:r>
    </w:p>
    <w:p>
      <w:r>
        <w:t>SALAIRE DÉTERMINANT, REVENU D'INVALIDE, REVENU SANS INVALIDITÉ, ÉVALUATION DE L'ATTEINTE À LA SANTÉ, REVENU HYPOTHÉTIQUE, OBLIGATION DE RÉDUIRE LE DOMMAGE, INDEMNITÉ POUR ATTEINTE À L'INTÉGRITÉ | 18 al. 2 LAA, 19 al. 1 LAA, 21 LAA, 25 al. 1 LAA, 48 LAA, 6 al. 1 LAA, 16 LPGA, 21 al. 4 LPGA, 4 LPGA, 36 al. 1 OLAA, 61 OLAA</w:t>
      </w:r>
    </w:p>
    <w:p>
      <w:pPr>
        <w:pStyle w:val="Heading2"/>
      </w:pPr>
      <w:r>
        <w:t>Erwägungen</w:t>
      </w:r>
    </w:p>
    <w:p>
      <w:r>
        <w:rPr>
          <w:b/>
        </w:rPr>
        <w:t>E. 1</w:t>
      </w:r>
    </w:p>
    <w:p>
      <w:r>
        <w:t>al.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auprès du tribunal des assurances du canton de domicile de l'assuré ou d'une autre partie au moment du dépôt (art. 58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est manifestement supérieure à 30'000 fr., de sorte que la cause doit être tranchée par la Cour composée de trois magistrats (art. 83c al. 1 LOJV [loi d'organisation judiciaire du 12 décembre 1979 ; RSV 173.01]). b) Le recours a été interjeté en temps utile auprès du tribunal compétent et satisfait aux autres conditions de forme (art. 61 let. b LPGA), de sorte qu'il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w:t>
      </w:r>
    </w:p>
    <w:p>
      <w:r>
        <w:rPr>
          <w:b/>
        </w:rPr>
        <w:t>E. 3</w:t>
      </w:r>
    </w:p>
    <w:p>
      <w:r>
        <w:t>En l'occurrence est litigieuse le question de la capacité de travail exigible de l'assuré, son droit à une rente et son IPAI.</w:t>
      </w:r>
    </w:p>
    <w:p>
      <w:r>
        <w:rPr>
          <w:b/>
        </w:rPr>
        <w:t>E. 4</w:t>
      </w:r>
    </w:p>
    <w:p>
      <w:r>
        <w:t>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(cf. ATF 129 V 402, consid. 2.1 et les références citées ;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Quant au caractère soudain de l'atteinte, celle-ci doit se produire, pour que cette condition soit remplie, pendant un laps de temps relativement court, et pouvoir être rattaché à un événement unique – et non consister en des troubles à répétition, par exemple des microtraumatismes quotidiens (TF 8C_520/2009 du 24 février 2010, consid. 4.2) ; la soudaineté doit se rapporter au facteur extérieur qui est à l'origine de l'atteinte (TF 8C_234/2008 du 31 mars 2009, consid. 6). b)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citées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citées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citées).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citées) ; le seul fait que des symptômes douloureux ne se sont manifestés qu'après la survenance d'un accident ne suffit pas à établir un rapport de causalité naturelle avec cet accident (raisonnement "post hoc, ergo propter hoc" ; cf. ATF 119 V 335 consid. 2b/bb ; TF 8C_42/2009 du 1 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citées ; ATF 129 V 177 précité, consid. 3.2 ; TF 8C_710/2008 du 28 avril 2009, consid. 2). En matière de troubles physiques, la causalité adéquate se confond pratiquement avec la causalité naturelle (TF 8C_726/2008 du 14 mai 2009, consid. 2.1 in fine et les références citées).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5b, 125 V 193 consid. 2 et les références citées ; cf. ATF 126 V 353 consid. 3.2 et 3.3). Aussi n'existe-t-il pas, en droit des assurances sociales, un principe selon lequel l'administration ou le juge devrait statuer, dans le doute, en faveur de l'assuré (ATF 126 V 319 consid. 5a p. 322).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citées, RAMA 2004 n° U 515 p. 420, consid. 1.2, TFA U 64/02 ; VSI 2000 p. 201, consid. 2d). c) En cas de recours, le tribunal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w:t>
      </w:r>
    </w:p>
    <w:p>
      <w:r>
        <w:rPr>
          <w:b/>
        </w:rPr>
        <w:t>E. 8</w:t>
      </w:r>
    </w:p>
    <w:p>
      <w:r>
        <w:t>a) Pour procéder à l’évaluation du taux d’invalidité,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ème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(cf. ATF 129 V 472 consid. 4.2 ; TF 8C_287/2010 du 18 novembre 2010, consid. 3 et 9C_900/2009 du 27 avril 2010, consid. 3.3). b) En l’occurrence, dans la décision du 2 février 2009, l’intimée a retenu un revenu sans invalidité de 73'237 fr. 15 pour l’année 2005. Ce revenu est fondé sur l’enquête économique pour les indépendants effectuée par l’OAI en août 2005. Cette enquête a déterminé qu’en 2002, le revenu était de 70'873 fr., soit indexé à 2005, de 73'237 fr. 15. Il n’a pas été contesté par la recourante dans son opposition. Il ne l’a pas été non plus dans le cadre de la procédure AI et c’est celui qui a été retenu dans l’arrêt rendu le 27 novembre 2009 par la CASSO. Il n’y a pas lieu de remettre en cause ce revenu ; la recourante ne fait d’ailleurs valoir aucun argument à cet égard. S’agissant du revenu d’invalide, il ressort de la décision de l’OAI rendue le 21 janvier 2009 que cet office avait considéré dans un premier temps que des mesures professionnelles étaient envisageables pour réduire la perte économique de l’assuré. Celui-ci ayant déclaré qu’il s’estimait incapable de travailler à 50%, de telles mesures n’ont pas été mises en place. L’OAI a alors considéré au titre de l’obligation pour l’assuré de diminuer son dommage, que le taux d’invalidité devait être fixé selon l’activité exigible selon l’appréciation médicale et non selon celle que l’assuré consent à exercer. Il avait retenu que l’assuré aurait pu travailler dans une activité adaptée à l’issue de mesures professionnelles nécessitant une formation de type CFC. Cet office s’était alors fondé sur la table TA1 de l’ESS 2004, niveau de qualification 3, soit, selon la décision, 5'500 fr. (en réalité 5'550 fr.). Cela étant, en procédure de recours, l’OAI avait relevé qu’à défaut de sommation avertissant l’assuré des conséquences de son refus de collaborer, il fallait prendre en considération un revenu de niveau 4, correspondant à des activités ne nécessitant pas de formation particulière (soit 4'588 fr.). Dans sa décision sur opposition, l’assurance a estimé que si l’OAI n’avait pas pu prendre en considération des statistiques ESS compatibles avec des mesures de reclassement professionnel, c’est en raison d’un vice de procédure, soit l’absence de sommation. L’intimée, se référant à l’arrêt de la Cour de céans du 28 octobre 2009 réformant la décision AI du 29 janvier 2009, considère ne pas être liée par l’évaluation de l’invalidité faite par l’OAI et que sur le principe, les mesures de reclassement restaient parfaitement exigibles. Elle se fonde donc sur la table TA7 et le niveau de connaissances professionnelles spécialisées, soit le niveau 3 de l'ESS 2006.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L'art. 61 OLAA (ordonnance du 20 décembre 1982 sur l’assurance-accidents ; RS 832.202) concrétise et précise, pour ce qui est de l'assurance-accidents, les conséquences d'un refus de l'assuré. Il prévoit - conformément d'ailleurs à un principe général du droit de la responsabilité civile (cf. ATF 134 V 189 consid. 2.1 p. 193, 130 III 182 consid. 5.5.1 p. 189, et les références citées) - de faire supporter à l'assuré la part du dommage dont il est personnellement responsable. Sous le titre "Refus d'un traitement ou d'une mesure de réadaptation exigibles", cette disposition a en effet la teneur suivante : "Si l'assuré se soustrait à un traitement ou à une mesure de réadaptation auxquels on peut raisonnablement exiger qu'il se soumette, il n'a droit qu'aux prestations qui auraient probablement dû être allouées si ladite mesure avait produit le résultat escompté". L'art. 21 al. 4 LPGA vise un état de fait qui naît postérieurement à la survenance de l'accident et qui s'inscrit donc dans l'obligation générale qui incombe à l'assuré de réduire le dommage (cf. Ueli Kieser, ATSG-Kommentar, 2 ème éd., n° 65 ad art. 21, p. 293). En matière d'assurance-accidents, il se conjugue avec l'art. 48 al. 1 LAA, selon lequel l'assureur peut prendre les mesures qu'exige le traitement approprié de l'assuré en tenant compte équitablement des intérêts de celui-ci et de ses proches. Comme l'assureur-accidents n'alloue pas de prestations sous la forme de réadaptation professionnelle, l'art. 21 al. 4 LPGA s'applique avant tout au refus de se soumettre à un traitement médical, notion qui comprend aussi bien les mesures d'investigation médicale que le traitement proprement dit (Kieser, op. cit., n. 68 ad art. 21, p. 293). Néanmoins, l'assureur-accidents peut aussi réduire ou refuser ses prestations si l'assuré se soustrait à une mesure de réadaptation professionnelle ordonnée par l'assurance-invalidité (Frésard/Moser-Szeless, op. cit., n. 341 p. 941 ; ATF 134 V 189 ; TF 8C_525/2009 du 18 mai 2010). d) En l'espèce, pour que l'on puisse considérer que l'assuré s'était soustrait à une mesure de réadaptation professionnelle ordonnée par l'assurance-invalidité, il eût fallu que la procédure y relative ait été suivie. Or tel n'a pas été le cas, faute de sommation. En conséquence, l'assurance n'est pas habilitée à réduire ou à refuser ses prestations pour ce motif. Il convient donc de prendre en considération dans l'ESS le niveau 4, soit le niveau correspondant à des activités simples et répétitives et non le niveau 3, à savoir le niveau des connaissances professionnelles spécialisées. e) S'agissant du tableau à prendre en considération,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129 V 472 consid. 4.2.1 p. 475, 126 V 75 consid. 3b/aa p. 76 et les références citées).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9C_237/2007 du 24 août 2007 consid. 5.1 ; ATF 133 V 545 et les références citées ; TF 26 février 2009, 8C_625/2008). f) En l’espèce, l'intimée s'est référée à la table TA7 sans motiver son choix. Il n'y a aucune raison de ne pas s'en tenir à la règle usuelle. En particulier il est constant que l'activité exercée précédemment n'est plus exigible. Dans ces conditions, il convient de retenir le tableau TA1, à la ligne " TOTAL" pour déterminer le revenu d'invalidité de l'assuré, soit 4'588 fr., part au 13 ème salaire comprise (ESS 2004, TA1, niveau de qualification 4).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Ce montant doit ensuite être indexé à l'évolution des salaires nominaux entre 2004 et 2005 (+ 1%), soit 4'819 fr. 23, ce qui donne un salaire annuel à 100% de 57'830 fr. 82. Compte tenu de la capacité de travail de l'assuré fixée à 75%, il faut retenir un salaire d'invalide de 43'373 fr. 12 (57'830 fr. 12 - 25%). g) La recourante conteste le taux d'abattement fixé à 5% par l'intimée.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si par exemple l'assurance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(TF 8C_705/2011 du 21 octobre 2011 ; ATF 130 III 176 consid. 1.2 p. 180). Lorsque l'assuré est apte à travailler à plein temps, mais avec un rendement diminué, cette diminution de rendement est prise en compte dans la fixation de l'incapacité de travail. En principe, il n'y a pas lieu d'opérer en plus un abattement lié au handicap (cf. arrêts 9C_40/2011 du 1 er avril 2011 consid. 2.3.1, 8C_827/2009 du 26 avril 2010 consid. 4.2.1, 9C_980/2008 du 4 mars 2009 consid. 3.1.2, 8C_765/2007 du 11 juillet 2008 consid. 4.3.3, 9C_344/2008 du 5 juin 2008 consid. 4 et I 69/07 du 2 novembre 2007 consid. 5.1). En revanche, un abattement à raison d'autres circonstances est admissible dans la limite maximale de 25%. Ainsi un abattement par exemple pour désavantage salarial peut se justifier, malgré une diminution de rendement déjà admise (TF 8C_585/2011 du 5 avril 2012). Compte tenu de l’ensemble des circonstances ce taux d'abattement apparaît effectivement trop bas dans la mesure où l'assuré n'aurait selon toute vraisemblance exploiter sa capacité résiduelle de travail qu'avec des chances de gain inférieures à la moyenne (TF 9C_390/2011 du 2 mars 2012). Ainsi, ses limitations fonctionnelles constituaient un frein sérieux à l'obtention d'un salaire tel qu'il ressortait des données ESS. En définitive, la Cour de Céans considère qu'un taux d'abattement de 15% est approprié pour apporter un correctif réaliste au revenu qu'aurait pu réellement obtenir l'assuré par rapport au salaire statistique. Le salaire d'invalide s'élève ainsi dans le cas présent à 36'867 fr. 15 (43'373 fr.</w:t>
      </w:r>
    </w:p>
    <w:p>
      <w:r>
        <w:rPr>
          <w:b/>
        </w:rPr>
        <w:t>E. 12</w:t>
      </w:r>
    </w:p>
    <w:p>
      <w:r>
        <w:t>15%). Le calcul du degré d'invalidité est ainsi le suivant : Revenu sans invalidité : 73'237 fr. 13 Revenu avec invalidité : 36'867 fr. 15 Perte de gain :              36'369 fr. 98 Degré d'invalidité : 49.66% En définitive, l'assuré avait droit à l'octroi d'une demi-rente dès le 1 er novembre 2005 jusqu’au 17 mars 2010, date de son décès. Cela étant, il convient de renvoyer la cause à l’intimée pour effectuer le calcul de la rente sous déduction des éventuelles sommes versées durant cette période à titre d’indemnités journalières. 9. Comme dernier grief, la recourante conteste le taux d’IPAI retenu par l’intimée.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I’OLAA comporte un barème des atteintes à l’intégrité en pour cent du montant maximum du gain assuré. Ce barème, reconnu conforme à la loi, ne constitue pas une énumération exhaustive (cf. ATF 124 V 29 consid. 1b, 209 consid. 4a/bb et les références citées).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I’OLAA (cf. ATF 124 V 29 consid. 1c, 209 consid. 4a/cc,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citée). b) En l’espèce, s’agissant de l’IPAI, la recourante conteste le taux fixé par l’intimée (30%) affirmant qu’il faut le fixer à 60% pour tenir compte en particulier de la hernie discale et des troubles psychiques de l’assuré. Comme cela résulte de ce qui précède, ces troubles ne sont pas en relation de causalité avec l’accident et ne peuvent être pris en considération dans la fixation de l’IPAI. Seuls entrent en considération à cet égard la blessure de la jambe gauche de l’assuré. Dans leur rapport respectif, le Dr E.________ arrête le taux d’IPAI à 20% et le Dr B.________ le fixe entre 25 et 30%. C’est donc à bon droit que l’intimée a arrêté le taux d’IPAI à 30%. 10. a) En définitive, le recours doit être admis partiellement en ce sens que le droit à une rente à 50% est reconnu à feu M. X._________ du 1 er novembre 2005 au 17 mars 2010, sous déduction des éventuelles sommes versées durant cette période à titre d’indemnités journalières. b) Il n'y a pas lieu de percevoir de frais judiciaires, la procédure étant gratuite (art. 61 let. a LPGA). La recourante, qui obtient partiellement gain de cause avec le concours d'un mandataire professionnel, a droit à des dépens réduits, qu'il convient de fixer à 1'500 fr. (art. 61 let. g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