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931 vom 4. Dezember 2012</w:t>
      </w:r>
    </w:p>
    <w:p>
      <w:r>
        <w:t>VD Tribunal cantonal, 2012-12-04, FR</w:t>
      </w:r>
    </w:p>
    <w:p>
      <w:r>
        <w:rPr>
          <w:b/>
        </w:rPr>
        <w:t xml:space="preserve">Quelle: </w:t>
      </w:r>
      <w:r>
        <w:t>https://mcp.opencaselaw.ch/entscheid/vd_findinfo_Arr_t___2012___931</w:t>
      </w:r>
    </w:p>
    <w:p>
      <w:r>
        <w:t>FR: VD_FINDINFO Arrêt / 2012 / 931 du 4 décembre 2012</w:t>
      </w:r>
    </w:p>
    <w:p>
      <w:r>
        <w:t>IT: VD_FINDINFO Arrêt / 2012 / 931 del 4 dicembre 2012</w:t>
      </w:r>
    </w:p>
    <w:p>
      <w:pPr>
        <w:pStyle w:val="Heading2"/>
      </w:pPr>
      <w:r>
        <w:t>Regeste</w:t>
      </w:r>
    </w:p>
    <w:p>
      <w:r>
        <w:t>TUTELLE, NULLITÉ, DROIT D'ÊTRE ENTENDU, RÉSIDENCE HABITUELLE, ADMISSION DE LA DEMANDE | 369 CC, 374 CC, 379 CPC, 393 CPC, 30 al. 1 Cst., 85 al. 2 LDIP, 5 al. 1 CLaH 2000, 5 al. 2 CLaH 2000</w:t>
      </w:r>
    </w:p>
    <w:p>
      <w:pPr>
        <w:pStyle w:val="Heading2"/>
      </w:pPr>
      <w:r>
        <w:t>Erwägungen</w:t>
      </w:r>
    </w:p>
    <w:p>
      <w:r>
        <w:rPr>
          <w:b/>
        </w:rPr>
        <w:t>E. 1</w:t>
      </w:r>
    </w:p>
    <w:p>
      <w:r>
        <w:t>L'appel est dirigé contre une décision de la justice de paix instituant une mesure de tutelle à forme de l'art. 369 CC en faveur de l'appelante. a) Selon l'art. 393 al. 1 CPC-VD (Code de procédure civile vaudoise du 14 décembre 1966), qui demeure applicable conformément à l'art. 174 al. 2 CDPJ (Code de droit privé judiciaire vaudois du 12 janvier 2010, RSV 211.02),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 elle peut procéder à toutes mesures d'instruction qu'elle juge utiles (art. 393 al. 3 CPC-VD ; Poudret/Haldy/Tappy, Procédure civile vaudoise, 3 e éd., Lausanne 2002, note ad art. 393 CPC-VD, p. 599 ; Zurbuchen, La procédure d'interdiction, thèse, Lausanne 1991, pp. 169 et 170). b) Compte tenu des griefs liés au mode de notification de la décision entreprise, il y a lieu de considérer que l'appel a été formé en temps utile. Interjeté par la personne interdite, il est ainsi recevable à la forme. Les écritures déposées dans les délais impartis à cet effet et les pièces produites en deuxième instance sont également recevables (art. 393 al. 3 CPC-VD).</w:t>
      </w:r>
    </w:p>
    <w:p>
      <w:r>
        <w:rPr>
          <w:b/>
        </w:rPr>
        <w:t>E. 2</w:t>
      </w:r>
    </w:p>
    <w:p>
      <w:r>
        <w:t>a/aa)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b/aa) L'appelante fait valoir que son droit d'être entendue a été violé, dès lors que les premiers juges n'ont pas statué sur sa demande de récusation. Par courrier du 21 mars 2011, le conseil d'alors de l'appelante a récusé le CHUV pour le mandat d'expert, au motif que sa cliente avait effectué un séjour dans cet établissement et qu'à ce titre ses employés étaient prévenus. Dans une lettre du 23 mars 2011, la juge de paix lui a répondu que l'expert n'avait pas encore été nommément désigné par le Centre d'expertises du CHUV, de sorte qu'elle considérait la requête comme prématurée. Elle a ajouté que les coordonnées de l'expert proposé lui seraient communiquées le moment venu et qu'il lui appartiendrait, le cas échéant, de renouveler sa requête de récusation. Le 30 mars 2011, cette magistrate a transmis à l'avocat de l'appelante les coordonnées des deux experts désignés. Le 21 avril 2011, la juge de paix a indiqué au conseil de l'appelante que, constatant qu'il n'avait pas renouvelé sa requête du 21 mars 2011 ensuite de l'envoi du 30 mars 2011, elle partait de l'idée que celle-ci était caduque. Ces courriers n'ont suscité aucune objection de la part du mandataire de l'appelante. Il y a ainsi lieu de retenir qu'en ne renouvelant pas sa requête de récusation à réception des coordonnées des experts conformément à la lettre de la juge de paix du 23 mars 2011, l'appelante a renoncé à invoquer ce moyen. En le soulevant à nouveau uniquement au stade de l'appel, elle contrevient au principe de la bonne foi (ATF 138 I 1 c. 2.2 ; ATF 136 I 207 c. 3.4 ; 134 I 20 c. 4.3.1). Quoi qu'il en soit, le grief de défaut d'impartialité est infondé. La garantie d'un tribunal indépendant et impartial résultant de l'art. 30 al. 1 Cst. (Constitution fédérale de la Confédération suisse du 18 avril 1999, RS 101), de l'art. 6 par. 1 CEDH (Convention du</w:t>
      </w:r>
    </w:p>
    <w:p>
      <w:r>
        <w:rPr>
          <w:b/>
        </w:rPr>
        <w:t>E. 4</w:t>
      </w:r>
    </w:p>
    <w:p>
      <w:r>
        <w:t>décembre 2012 Le dispositif de l'arrêt qui précède est communiqué par écrit aux intéressés. La greffière : Du L'arrêt qui précède, dont la rédaction a été approuvée à huis clos, est notifié à : ‑ Me Stephen Gintzburger (pour A.F.________), ‑ M. le Tuteur général,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