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890 vom 28. November 2012</w:t>
      </w:r>
    </w:p>
    <w:p>
      <w:r>
        <w:t>VD Tribunal cantonal, 2012-11-28, FR</w:t>
      </w:r>
    </w:p>
    <w:p>
      <w:r>
        <w:rPr>
          <w:b/>
        </w:rPr>
        <w:t xml:space="preserve">Quelle: </w:t>
      </w:r>
      <w:r>
        <w:t>https://mcp.opencaselaw.ch/entscheid/vd_findinfo_Arr_t___2012___890</w:t>
      </w:r>
    </w:p>
    <w:p>
      <w:r>
        <w:t>FR: VD_FINDINFO Arrêt / 2012 / 890 du 28 novembre 2012</w:t>
      </w:r>
    </w:p>
    <w:p>
      <w:r>
        <w:t>IT: VD_FINDINFO Arrêt / 2012 / 890 del 28 novembre 2012</w:t>
      </w:r>
    </w:p>
    <w:p>
      <w:pPr>
        <w:pStyle w:val="Heading2"/>
      </w:pPr>
      <w:r>
        <w:t>Regeste</w:t>
      </w:r>
    </w:p>
    <w:p>
      <w:r>
        <w:t>CHÔMAGE, SUSPENSION DU DROIT À L'INDEMNITÉ, FAUTE GRAVE, CHAUFFEUR, RETRAIT DE PERMIS, TAUX D'ALCOOLÉMIE | 30 al. 1 let. a LACI, 44 al. 1 let. a OACI, 45 al. 3 OACI</w:t>
      </w:r>
    </w:p>
    <w:p>
      <w:pPr>
        <w:pStyle w:val="Heading2"/>
      </w:pPr>
      <w:r>
        <w:t>Erwägungen</w:t>
      </w:r>
    </w:p>
    <w:p>
      <w:r>
        <w:rPr>
          <w:b/>
        </w:rPr>
        <w:t>E. 28</w:t>
      </w:r>
    </w:p>
    <w:p>
      <w:r>
        <w:t>novembre 2012 ______________________ Présidence de               Mme Pasche , juge unique Greffière :              Mme Pradervand ***** Cause pendante entre : W.________ , à […], recourant, représenté par DAS Protection Juridique SA, à Etoy, et Caisse N.________ , à Lausanne, intimée. _______________ Art.</w:t>
      </w:r>
    </w:p>
    <w:p>
      <w:r>
        <w:rPr>
          <w:b/>
        </w:rPr>
        <w:t>E. 30</w:t>
      </w:r>
    </w:p>
    <w:p>
      <w:r>
        <w:t>jours en cas de faute de gravité moyenne (let. b) et de 31 à 60 jours en cas de faute grave (let. c). La durée de la suspension est fixée compte tenu non seulement de la faute, mais également du principe de proportionnalité (TF 8C_65/2008 du 27 août 2008, consid. 5.3 et la référence). Ont été qualifiés de fautes graves par le Tribunal administratif du canton de Vaud le fait consistant à ne pas informer son employeur de sa mise en détention (arrêt PS.2005.0155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PS.2004.0022 du 7 février 2006), ainsi qu'une suspension de 45 jours à l'égard d'un assuré qui n'annonce à son employeur son intention de déposer son permis de conduire, pour une durée de quatre mois, que deux jours avant la date choisie, lui donnant ainsi un motif de résiliation immédiate, le permis étant indispensable à l'exercice de ses activités professionnelles (arrêt PS.2006.0054 du 31 août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(TF C 221/01 du 7 novembre 2001; C 254/06 du 26 novembre 2007, consid. 5.3; cf. aussi affaire similaire TFA C 215/05 du 29 novembre 2005; DTA 2002 no 19 p. 121). b) En l'espèce, l'intimée a prononcé une suspension d'une durée de 41 jours à l'encontre du recourant. Ce dernier ne prétend pas, à juste titre, que la faute qu'il a commise ne constituerait pas une faute grave, mais uniquement que la sanction devrait être ramenée de 41 à 31 jours, compte tenu de la suspension de 31 jours infligée dans l'affaire C 221/01. Dans le cas particulier, la caisse n'a pas violé le droit fédéral en qualifiant de grave la faute du recourant, vu la profession exercée – nécessitant la conduite d'un véhicule – et le motif du retrait du permis de conduire. En outre, la faute du recourant est aggravée puisque, d'une part, elle a été commise pendant les heures de travail, contrairement à la jurisprudence précitée, et d'autre part, le recourant a prévenu son employeur de la situation qu'au dernier moment, soit le 5 décembre 2011, alors même qu'il connaissait les résultats de sa prise de sang depuis un mois au moins, celle-ci ayant été effectuée le 12 septembre 2011. A tout le moins, il avait connaissance des éventuelles conséquences de son taux d'alcoolémie trop élevé à la fin du mois de novembre, vu le préavis du SAN du 18 novembre 2011. Dans ces circonstances, il convient de retenir que la faute commise par le recourant est grave et que l'intimée n'a pas outrepassé son pouvoir d'appréciation en prononçant une suspension de 41 jours du droit aux indemnités, soit la durée moyenne de l'échelle applicable en cas de faute grave. 6. Compte tenu de ce qui précède, le recours doit être rejeté et la décision attaquée confirmée. Le présent arrêt est rendu sans frais (art. 61 let. a LPGA). Le recourant n'obtenant pas gain de cause, il n'y a pas lieu d'allouer de dépens (art. 61 let. g LPGA; 55 LPA-VD). Par ces motifs, la juge unique prononce : I. Le recours est rejeté. II. La décision sur opposition rendue le 27 septembre 2012 par la Caisse N.________ est confirmée. III. Il n'est pas perçu de frais judiciaires ni alloué de dépens. La juge unique :               La greffière : Du L'arrêt qui précède est notifié à : ‑ DAS Protection juridique SA (pour W.________), ‑ Caisse N.________,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