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815 vom 3. Oktober 2012</w:t>
      </w:r>
    </w:p>
    <w:p>
      <w:r>
        <w:t>VD Tribunal cantonal, 2012-10-03, FR</w:t>
      </w:r>
    </w:p>
    <w:p>
      <w:r>
        <w:rPr>
          <w:b/>
        </w:rPr>
        <w:t xml:space="preserve">Quelle: </w:t>
      </w:r>
      <w:r>
        <w:t>https://mcp.opencaselaw.ch/entscheid/vd_findinfo_Arr_t___2012___815</w:t>
      </w:r>
    </w:p>
    <w:p>
      <w:r>
        <w:t>FR: VD_FINDINFO Arrêt / 2012 / 815 du 3 octobre 2012</w:t>
      </w:r>
    </w:p>
    <w:p>
      <w:r>
        <w:t>IT: VD_FINDINFO Arrêt / 2012 / 815 del 3 ottobre 2012</w:t>
      </w:r>
    </w:p>
    <w:p>
      <w:pPr>
        <w:pStyle w:val="Heading2"/>
      </w:pPr>
      <w:r>
        <w:t>Regeste</w:t>
      </w:r>
    </w:p>
    <w:p>
      <w:r>
        <w:t>TUTELLE, CURATELLE DE GESTION, CURATELLE DE REPRÉSENTATION, ALCOOLISME | 370 CC, 392 ch. 1 CC, 393 ch. 2 CC, 393 CPC, 489 CPC</w:t>
      </w:r>
    </w:p>
    <w:p>
      <w:pPr>
        <w:pStyle w:val="Heading2"/>
      </w:pPr>
      <w:r>
        <w:t>Erwägungen</w:t>
      </w:r>
    </w:p>
    <w:p>
      <w:r>
        <w:rPr>
          <w:b/>
        </w:rPr>
        <w:t>E. 1</w:t>
      </w:r>
    </w:p>
    <w:p>
      <w:r>
        <w:t>L'appel est dirigé contre une décision de la justice de paix prononçant l'interdiction civile du pupille en application de l'art. 370 CC. Conformément à l'art. 393 al. 1 CPC-VD (Code de procédure civile vaudoise du 14 décembre 1966, RSV 270.11), qui reste applicable aux décisions rendues après le 1 er janvier 2011 (art. 174 al. 2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Interjeté en temps utile par la personne interdite, l'appel est recevable à la forme. L'appel reporte la cause en son entier, c'est-à-dire en fait et en droit, devant la Chambre des tutelles qui n'est pas liée par l'appréciation des témoignages et peut procéder ou faire procéder à toutes mesures d'instruction qu'elle juge utiles (art. 393 al. 3 CPC-VD; art. 76 al. 2 LOJV; Poudret/Haldy/Tappy, Procédure civile vaudoise, 3 ème éd., Lausanne 2002, note ad art. 393 CPC, p. 599).</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fédérales définies aux art. 373 à 375 CC. a) 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b) L'appelant étant domicilié à Veytaux lorsque l'autorité tutélaire du district de La Riviera – Pays-d'Enhaut a ouvert une enquête à son endroit, cette autorité était compétente pour rendre la décision querellée. Le 26 janvier 2012, la Juge de paix a procédé à l'audition du pupille et l'a informé de l'ouverture d'une enquête en interdiction civile et en placement à des fins d'assistance à son égard. Elle a ordonné son expertise psychiatrique puis soumis le rapport des experts, déposé le 23 avril 2012, au Conseil de santé; celui-ci s'est prononcé le 14 mai 2012 (art. 380 CPC-VD). Egalement interpellée, la Municipalité de Veytaux a indiqué qu'elle ne pouvait donner son avis sur la mesure tutélaire envisagée, n'étant pas informée de l'état de santé du pupille (art. 380 al. 3 CPC-VD). L'enquête terminée, la Juge de paix a soumis le dossier de l'appelant à la Justice de paix. Cette autorité, in corpore, a entendu l'intéressé le 6 juin 2012. Celui-ci ayant pu faire valoir son argumentation, son droit d'être entendu a ainsi été respecté. Rendue conformément aux règles de procédure applicables, la décision attaquée peut donc être examinée quant au fond.</w:t>
      </w:r>
    </w:p>
    <w:p>
      <w:r>
        <w:rPr>
          <w:b/>
        </w:rPr>
        <w:t>E. 3</w:t>
      </w:r>
    </w:p>
    <w:p>
      <w:r>
        <w:t>L'interdiction civile de l'appelant a été prononcée en application de l'art. 370 CC. a) A teneur de l'art. 370 CC, sera pourvu d'un tuteur tout majeur qui, par ses prodigalités, son ivrognerie, son inconduite ou sa mauvaise gestion, s'expose, lui ou sa famille, à tomber dans le besoin, ne peut se passer de soins et secours permanents ou menace la sécurité d'autrui. L'ivrognerie ou l'alcoolisme consiste dans l'abus habituel de boissons alcooliques dû à un penchant anormal (Deschenaux/ Steinauer, Personnes physiques et tutelle, 4 e éd., 2001, n. 129, p. 41). Il convient de restreindre l'application de l'art. 370 CC au cas où la personne en cause ne peut plus renoncer par ses propres forces à une consommation excessive d'alcool (ATF 78 II 333, JT 1953 I 499). L'ivrognerie à elle seule n'est pas une cause suffisante d'interdiction si elle n'entraîne pas un échec social de la personne qui doit être interdite (ATF 106 II 298, JT 1981 I 293). La notion de mauvaise gestion doit être interprétée restrictivement. Elle consiste dans une gestion défectueuse, dans une négligence extraordinaire dans l'administration de la fortune, qui doit avoir sa cause subjective dans la faiblesse de l'intelligence ou de la volonté. Il peut y avoir mauvaise gestion non seulement lorsqu'une fortune existante est administrée de manière insensée et incompréhensible, mais aussi lorsque l'intéressé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(TF 5C.131/2006 du 17 octobre 2006, publié in Revue du droit de la tutelle 2007, p. 81). Une interdiction fondée sur l'art. 370 CC suppose un besoin spécial de protection (condition d'interdiction), à savoir, selon la disposition précitée, le risque pour l'intéressé ou sa famille de tomber dans le besoin, le besoin de soins et secours permanents ou la menace pour la sécurité d'autrui. Les conditions du besoin spécial de protection susmentionnées sont alternatives (Deschenaux/Steinauer, op. cit., nn. 116 ss, pp. 36 ss;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TF 5C.74/2003 du 3 juillet 2003, in FamPra.ch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130). b) 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(Deschenaux /Steinauer, op. cit., n. 1092, pp. 409 et 410). Dans le cadre d'une telle curatelle, la mission du curateur est générale et permet d'apporter au pupille l'aide personnelle ou administrative dont il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rPr>
          <w:b/>
        </w:rPr>
        <w:t>E. 4</w:t>
      </w:r>
    </w:p>
    <w:p>
      <w:r>
        <w:t>a) L'appelant réfute les conclusions de l'expertise, faisant valoir que les experts ne l'auraient rencontré que durant quarante-cinq minutes et qu'ils auraient ainsi fait preuve d'un manque de sérieux et de professionnalisme. Il admet la précarité de sa situation financière, mais estime gérer ses charges et factures de manière satisfaisante et considère que sa mise sous tutelle le ferait régresser dans son processus thérapeutique. b) A l'instar des autres moyens de preuves, le juge apprécie librement la force probante d'une expertise. Cette liberté trouve sa limite dans l'interdiction de l'arbitraire. Si le juge n'est en principe pas lié par les conclusions de l'expert, il ne peut s'en écarter, sous peine de violer l'art.</w:t>
      </w:r>
    </w:p>
    <w:p>
      <w:r>
        <w:rPr>
          <w:b/>
        </w:rPr>
        <w:t>E. 9</w:t>
      </w:r>
    </w:p>
    <w:p>
      <w:r>
        <w:t>Cst. Tel est notamment le cas si des motifs suffisants ou de sérieux indices le font douter de l'exactitude d'une expertise (TF 6B_539/2010 du 30 mai 2011 c. 2.2.2, in SJ 2012 I 293 et réf.; ATF 129 I 49 c. 4). En l'espèce, bien que relativement succincte, l'expertise contient une anamnèse, un status clinique, un diagnostic, une discussion et des conclusions qui sont suffisamment complets pour permettre une appréciation correcte de la situation du pupille. Les experts ont déclaré avoir fondé leur rapport sur l'ensemble du dossier remis, l'audition de l'appelant et les deux entretiens qu'ils ont eus avec l'assistant social J.________ et le Dr M.________ de l'UAS. L'expertise est donc fondée sur des éléments d'investigation suffisants, même si l'appelant n'a eu qu'un entretien avec les experts, dont la durée n'est pas établie. En outre, le rapport d'expertise émane de spécialistes, l'un exerçant le métier de psychothérapeute FMH. Ayant été menée de manière professionnelle, l'expertise critiquée ne saurait donc être écartée. c) Selon les experts, l'appelant souffre de problèmes mentaux et de troubles du comportement liés à la consommation d'alcool. Lors d'alcoolisations massives, il n'a plus sa capacité de discernement. De leur avis, les abus d'alcool répétés et la sévérité des troubles du comportement qui affectent le pupille l'empêchent de gérer seul ses affaires. Ainsi, son état de santé nécessitant la plupart du temps des soins et secours permanents et l'intéressé se mettant régulièrement en danger, une mesure tutélaire leur parait devoir être instituée. L'appelant ne conteste pas souffrir d'alcoolisme, conformément au résultat de l'expertise effectuée, maladie qui constituerait la cause de l'interdiction civile prononcée à son égard, mais critique la condition de cette mesure tutélaire, savoir son prétendu besoin de protection. Invoquant deux attestations de l'EMS C.________, établissement où il réside actuellement, il soutient être capable de s'occuper seul de ses affaires courantes. Selon l'attestation de l'EMS C.________, du 12 septembre 2012, l'appelant n'a pas souhaité être aidé sur le plan administratif, lors de son entrée dans l'établissement. Ainsi, il a fait parvenir tous les documents nécessaires pour compléter son dossier, s'est rendu lui-même à la Commune de Château-d'Oex et a fait le nécessaire pour qu'une attestation de son domicile principal à Veytaux soit adressée à son nouveau lieu de résidence, a fait en sorte que la Poste réexpédie son courrier à l'EMS et transmet également régulièrement, au service administratif de cet établissement, par téléphone ou e-mail, les informations ou documents relatifs à son hébergement. En outre, il se charge d'envoyer les éventuelles factures à son assurance maladie ou au service des assurances sociales pour règlement. D'après la seconde attestation de l'EMS, datée du 27 septembre 2012, l'état de santé de l'appelant évolue favorablement, il prend conscience de sa maladie en dépit d'une rechute de quelques jours, survenue au mois de juillet dernier, qui n'a pas nécessité d'hospitalisation, se comporte correctement et respecte rigoureusement les règles en usage dans l'établissement. Par ailleurs, il résulte des déclarations du pupille, du 6 juin 2012, qu'il est séparé de son épouse, que des mesures protectrices de l'union conjugale ont été prononcées, qu'il perçoit le revenu d'insertion depuis le mois d'août 2010, qu'il est dans l'attente d'une réponse de l'AI, qu'il doit plus d'une année de pensions à son épouse, d'un montant mensuel de 800 fr., et qu'il fait l'objet d'un acte de défauts de biens. Ainsi, il apparaît que, selon l'ensemble des éléments au dossier, l'appelant, depuis qu'il fait l'objet d'un placement, semble mieux à même de gérer ses affaires administratives et évolue favorablement, en dépit de sa brève rechute du mois de juillet dernier. Dès lors, même si sa situation reste encore fragile, il ne semble pas avoir besoin, tout au moins, en l'état, d'une aide permanente nécessitant une mesure de tutelle, cette aide lui étant apportée par le placement à des fins d'assistance. D'après les déclarations de l'appelant du 6 juin 2012, l'intéressé est également prêt à accepter une curatelle volontaire. Il se montre collaborant, en respectant de manière rigoureuse le cadre de l'établissement où il réside. Certes, selon les divers intervenants consultés, il se montre moins collaborant lors d'épisodes d'alcoolisations massives susceptibles d'altérer sa capacité de discernement, mais ce risque est limité dans la mesure où il fait l'objet d'un placement et que cette mesure ne pourra être levée que si sa situation personnelle se stabilise suffisamment. Il apparaît donc qu'au regard du principe de proportionnalité, une curatelle combinée constitue une mesure suffisante pour sauvegarder les intérêts du pupille (CTUT 26 juin 2012/188), qu'elle favorisera le processus thérapeutique et qu'elle assurera à l'intéressé la protection dont il a besoin, au vu de sa situation financière et sociale. En tous les cas, cette mesure n'est pas contradictoire à l'avis des experts, lesquels ont préconisé l'instauration d'une mesure tutélaire, sans se prononcer expressément sur sa nature. En revanche, la curatelle volontaire, proposée par l'appelant, n'est pas suffisante pour sauvegarder ses intérêts, particulièrement en cas de rechute, dans la mesure où cette mesure peut être levée sur simple demande. Il s'ensuit qu'une curatelle combinée, plus adaptée à la situation de l'appelant, doit être instaurée en sa faveur. d) Même si une curatelle combinée est prononcée, le cas de l'appelant demeure un cas lourd au sens de l'art. 97a al. 4 LVCC; il ne saurait être confié à un curateur privé. Le tuteur général sera donc désigné comme curateur du pupille, étant rappelé que, selon la jurisprudence, le tuteur général peut être désigné comme tel, si le pupille constitue un cas difficile à gérer (JT 2012 III 95). e) Enfin, la publication de la curatelle n'est pas opportune. Vu l'existence de dettes, l'instauration de la mesure doit être communiquée à l'Office des poursuites du domicile de l'intéressé (cf. art. 397 al. 3 CC). 5. En conclusion, l'appel doit être partiellement admis et la décision réformée aux chiffres II, III, IV et VII de son dispositif en ce sens qu'une curatelle combinée à forme des art. 392 ch. 1 et 393 ch. 2 CC est instituée en faveur de A.Y.________ (II), que le Tuteur général est nommé en qualité de curateur du pupille (III), qu'il est invité à remettre à la Justice de paix, dans le délai de trente jours, dès réception de la décision, un inventaire des biens du pupille, cet  inventaire devant  être accompagné d'une proposition de gestion précisant le montant à prélever annuellement et le ou les comptes bancaires concernés afin qu'une autorisation d'exploiter puisse être délivrée (IV) et que le chiffre II de la décision est communiqué à l'Office des poursuites du district de la Riviera – Pays-d'Enhaut (VII), la décision étant confirmée pour le surplus. L'arrêt est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L'appel est partiellement admis. II. La décision est réformée aux chiffres II, III, IV et VII du dispositif comme il suit : II. institue une mesure de curatelle combinée à forme des art. 392 ch. 1 et 393 ch. 2 CC en faveur de A.Y.________, originaire de Bâle (BS), fils de B.Y.________ et de W.________, né le [...] 1959, marié (séparation légale), domicilié à l'avenue [...], [...] ; III. nomme le Tuteur général en qualité de curateur de A.Y.________ ; IV. invite le curateur à remettre à la Justice de paix, dans le délai de 30 jours dès réception de la présente décision, un inventaire des biens  du  pupille, cet  inventaire  devant  être accompagné d'une proposition  de  gestion  précisant  le  montant à prélever annuel- lement et le ou les comptes bancaires concernés afin qu'une autorisation d'exploiter puisse être délivrée ; VII. communique le chiffre II de la présente décision à l'Office des poursuites du district de la Riviera – Pays d'Enhaut. La décision est confirmée pour le surplus. III. L'arrêt est rendu sans frais. Le président :              La greffière : Du 3 octobre 2012 Le dispositif de l'arrêt qui précède est communiqué par écrit aux intéressés. La  greffière  : Du L'arrêt qui précède, dont la rédaction a été approuvée à huis clos, est notifié à : ‑ M. A.Y.________, ‑ Office du Tuteur général.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