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667 vom 18. September 2012</w:t>
      </w:r>
    </w:p>
    <w:p>
      <w:r>
        <w:t>VD Tribunal cantonal, 2012-09-18, FR</w:t>
      </w:r>
    </w:p>
    <w:p>
      <w:r>
        <w:rPr>
          <w:b/>
        </w:rPr>
        <w:t xml:space="preserve">Quelle: </w:t>
      </w:r>
      <w:r>
        <w:t>https://mcp.opencaselaw.ch/entscheid/vd_findinfo_Arr_t___2012___667</w:t>
      </w:r>
    </w:p>
    <w:p>
      <w:r>
        <w:t>FR: VD_FINDINFO Arrêt / 2012 / 667 du 18 septembre 2012</w:t>
      </w:r>
    </w:p>
    <w:p>
      <w:r>
        <w:t>IT: VD_FINDINFO Arrêt / 2012 / 667 del 18 settembre 2012</w:t>
      </w:r>
    </w:p>
    <w:p>
      <w:pPr>
        <w:pStyle w:val="Heading2"/>
      </w:pPr>
      <w:r>
        <w:t>Regeste</w:t>
      </w:r>
    </w:p>
    <w:p>
      <w:r>
        <w:t>INTERDICTION, TUTELLE, MALADIE MENTALE, DROIT D'ÊTRE ENTENDU, EXPERTISE PSYCHIATRIQUE | 369 al. 1 CC, 374 CC, 393 CPC</w:t>
      </w:r>
    </w:p>
    <w:p>
      <w:pPr>
        <w:pStyle w:val="Heading2"/>
      </w:pPr>
      <w:r>
        <w:t>Erwägungen</w:t>
      </w:r>
    </w:p>
    <w:p>
      <w:r>
        <w:rPr>
          <w:b/>
        </w:rPr>
        <w:t>E. 1</w:t>
      </w:r>
    </w:p>
    <w:p>
      <w:r>
        <w:t>a) L'appel est dirigé contre une décision de l'autorité tutélaire instituant une mesure de tutelle à forme de l'art. 369 CC en faveur de l'appelant. b) Conformément à l'art. 393 al. 1 CPC-VD (Code de procédure civile du 14 décembre 1966, RSV 270.11), qui demeure applicable aux décisions rendues après le 1 er janvier 2011 (art. 174 CDPJ [Code de droit privé judiciaire vaudois du 12 janvier 2010, RSV 211.01]), les décisions rendues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 s.; CTUT 23 juin 2005/94). c) Interjeté en temps utile par la personne interdite, le présent appel est recevable à la forme. Il en va de même de l'écriture déposée par la dénonçante dans le délai imparti (art. 393 al. 3 CPC-VD). d) L'existence d'un intérêt à recourir est une condition de recevabilité de tout recours (ATF 127 III 429 c. 1b; ATF 118 II 108 c. 2c); l'absence d'un tel intérêt doit être relevée d'office. Dès lors que l'autorité tutélaire a renoncé en l'état à ordonner le placement de N.________ (cf. chiffre VI du dispositif de la décision querellée), le recours dirigé contre la décision relative à la privation de liberté à des fins d'assistance n'a pas d'objet.</w:t>
      </w:r>
    </w:p>
    <w:p>
      <w:r>
        <w:rPr>
          <w:b/>
        </w:rPr>
        <w:t>E. 2</w:t>
      </w:r>
    </w:p>
    <w:p>
      <w:r>
        <w:t>a) En matière non contentieuse, réglée par le droit cantonal (art. 373 al. 1 CC), la Chambre des tutelles peut examiner d'office si les règles essentielles de la procédure d'interdiction, dont la violation pourrait entraîner l'annulation du jugement attaqué, ont été respectées (Poudret/Haldy/Tappy, Procédure civile vaudoise, 3 e éd., Lausanne 2002, nn. 3 et 4 ad art. 492 CPC-VD, p. 763). Dans le canton de Vaud, la procédure en matière d'interdiction est régie par les art. 379 ss CPC-VD, sous réserve des règles de procédure fédérale définies aux art. 373 à 375 CC. 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Le moment où la procédure d'interdiction est introduite est décisif (Deschenaux/Steinauer, Personnes physiques et tutelle, 4 e éd., Berne 2001, n. 892a, p. 348).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l'enquête terminée, le juge de paix la soumet à la justice de paix qui peut ordonner un complément d'enquête (al. 1).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L'interdit doit être entendu. Cette règle n'est expressément prévue que pour les cas d'interdiction fondés sur l'art. 370 CC (art. 374 al. 1 CC); elle a cependant une portée générale et s'applique également aux cas d'interdiction pour cause de maladie mentale et de faiblesse d'esprit lorsque le rapport d'expertise déclare l'audition de l'intéressé admissible (ATF 117 II 379 c. 2; TF 5A_457/2010 du 11 octobre 2010 c. 2.1; Deschenaux/Steinauer, op. cit., n. 902, p. 351; Poudret/ Haldy/Tappy, op. cit., n. 1 ad art. 381 CPC-VD, p. 591). L'audition au sens de l'art. 374 CC n'est pas seulement un droit inhérent à la défense de l'intéressé auquel celui-ci est libre de renoncer. Elle est aussi un moyen pour l'autorité d'éluder d'office les faits et de se forger un avis personnel tant sur la disposition mentale de la personne concernée que la nécessité d'ordonner ou de maintenir la mesure tutélaire (ATF 117 II 379 c. 2; TF 5A_457/2010 du 11 octobre 2010 c. 2.1). La personne à interdire doit pouvoir se déterminer sur tous les faits essentiels qui pourraient conduire à son interdiction (ATF 96 II 15). Si l'intéressé ne donne pas suite à la citation à comparaître, l'interdiction ne saurait donc, en règle générale, être tout simplement prononcée sur la base du dossier. L'autorité doit entendre la personne, même contre sa volonté et, si elle ne se présente pas, la cite à nouveau, se déplace pour l'entendre ou la fait entendre là où elle se trouve, au besoin par délégation (ATF 109 II 295, JT 1985 I 343; Deschenaux/Steinauer, op. cit., n. 902c, p. 352; CTUT 23 novembre 2009/244 c. 2b). c/aa) En l'espèce, l'appelant était domicilié à Lausanne au moment de l'ouverture de l'enquête en interdiction civile et en privation de liberté à des fins d'assistance à son égard. La Justice de paix du district de Lausanne était donc compétente pour décider de l'institution éventuelle d'une mesure de tutelle. Le Juge de paix a procédé à une enquête. Lors de son audience du 23 septembre 2009, il a entendu la sœur de l'appelant, ce dernier ne s'étant pas présenté. La Municipalité de Lausanne s’est déterminée le 3 novembre 2009. Le Juge de paix a ordonné une expertise psychiatrique (rapport d'expertise établi le 28 janvier 2011 par les médecins du Département de psychiatrie du CHUV) dont il a soumis le rapport au Conseil de santé, qui, par l'intermédiaire du Médecin cantonal agissant par délégation, a déclaré ne pas avoir d'observation à formuler. L’enquête terminée, le juge de paix l’a soumise à la justice de paix qui a tenu une audience le 29 mars 2011. Lors de celle-ci, il a été procédé à l'audition de la sœur de l'appelant uniquement, ce dernier bien que régulièrement cité ne s'étant pas présenté. Ensuite de l'arrêt rendu par la Cour de céans le 22 septembre 2011 annulant la décision de la Justice de paix du 29 mars 2011, celle-ci a tenu une nouvelle audience le 31 janvier 2012, lors de laquelle la sœur de l'appelant a à nouveau été entendue contrairement à ce dernier qui a finalement été entendu le 8 mai 2012. Lors de cette audience, l'appelant a eu la faculté de faire valoir son point de vue sur tous les faits essentiels qui pouvaient conduire à son interdiction. bb) L'appelant reproche à l'autorité tutélaire de ne pas avoir procédé à l'audition de sa mère, qui aurait témoigné de sa bonne volonté et de la fausseté des allégations de ses frère et sœur à son encontre. Il ressort du dossier que l'appelant n'a pas requis l'audition de cette dernière lorsqu'il a été cité à comparaître, qu'il ne l'a pas amenée à l'audience pour être entendue et qu'il n'a à aucun moment requis son audition au cours de celle-ci. Partant, l'appelant ne saurait se plaindre d'une violation de son droit d'être entendu. Cela étant, il ressort de ses propres déclarations que l'appelant a eu des frictions avec sa mère (cf. décision querellée, p. 2). cc) L'appelant invoque le fait qu'il n'aurait pas disposé d'une complète information préalable indispensable à sa défense. Les citations à comparaître qui lui ont été adressées les 16 novembre 2011 et 9 février 2012 indiquaient qu'il était convoqué pour être entendu dans le cadre de la clôture de l'enquête en interdiction civile et en privation de liberté à des fins d'assistance le concernant ensuite de l'arrêt de la Chambre des tutelles du Tribunal cantonal. L'appelant pouvait sans autre prendre connaissance du dossier avant l'audience. Lors de celle-ci, il pouvait à tout moment demander une suspension d'audience pour en prendre connaissance. Son droit d'être entendu a également été respecté sous cet angle. d/aa) L'appelant se plaint de ce que les déclarations émises par les experts seraient le produit de pures spéculations et du fait qu'il n'aurait rencontré qu'un seul médecin à deux reprises dans le cadre de toute cette affaire. Il reproche à l'autorité tutélaire de n'avoir ordonné aucune nouvelle expertise ou complément d'expertise ensuite de sa première opposition. bb) L'interdiction pour cause de maladie mentale ou de faiblesse d'esprit ne peut être prononcée que sur un rapport d'expertise (art. 374 al. 2 CC). Le droit fédéral est notamment violé si l'interdiction est prononcée en l'absence d'une expertise ou si celle-ci est trop ancienne (Schnyder/Murer, Commentaire bernois, Berne 1984, nn. 97 et 136 ad art. 374 CC). Il n'impose en revanche pas une seconde expertise; il appartient au juge du fait de décider souverainement s'il y a lieu de recourir à l'avis d'autres médecins (ATF 39 II 1 c. 3 p. 4; TF 5A_689/2010 du 3 mars 2011 c. 2.1). Comme en matière de privation de liberté à des fins d'assistance (art. 397e ch. 5 CC), l'expert doit être un spécialiste et être exempt de prévention (Schnyder/Murer, op. cit., nn. 90 et 96 ad art. 374 CC; TF 5A_689/2010 du 3 mars 2011 c. 2.1 et les références citées). cc) En l'espèce, la décision querellée se fonde sur le rapport d'expertise rendu le 28 janvier 2011 par les Drs [...] et [...], respectivement médecin associé et chef de clinique au Département de psychiatrie du CHUV. S'agissant de spécialistes en psychiatrie et ne s'étant pas déjà prononcés dans le cadre d'une même procédure sur l'état de santé de l'appelant, ils remplissent les conditions posées par la doctrine et la jurisprudence précitées. Il ressort du rapport d'expertise litigieux que le Dr [...] a rencontré l'appelant à trois reprises dans le courant du mois de juillet 2010. Convoqué à un nouvel entretien pour effectuer des tests psychologiques, l'appelant a refusé d'y prendre part faisant valoir qu'il se sentait victime d'injustice et d'irrégularités dans la procédure le concernant. Les experts ont cependant considéré que les observations cliniques faites durant les trois entretiens avec l'appelant et les informations recueillies leur permettaient de répondre aux questions posées par la Justice de paix. Dès lors qu'il s'est lui-même opposé à se rendre au dernier entretien, l'appelant ne saurait se plaindre de n'avoir rencontré qu'un seul médecin à deux (recte : trois) reprises. Au regard des réponses complètes apportées par les experts aux questions posées par la Justice de paix, ni un rapport d'expertise complémentaire, ni une seconde expertise n'apparaissaient nécessaires. e) Au regard des éléments qui précèdent, la décision entreprise est formellement correcte et peut être examinée sur le fond.</w:t>
      </w:r>
    </w:p>
    <w:p>
      <w:r>
        <w:rPr>
          <w:b/>
        </w:rPr>
        <w:t>E. 3</w:t>
      </w:r>
    </w:p>
    <w:p>
      <w:r>
        <w:t>a) L'appelant s'oppose à la mesure de tutelle instituée en sa faveur qu'il considère comme infondée et constitutive d'une tentative de restriction à sa liberté de croyance. b) A teneur de l'art. 369 al. 1 CC,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op. cit., n. 122a, p. 38).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de secours permanents ou la menace pour la sécurité d’autrui (Deschenaux/Steinauer, op. cit., nn. 116 ss, pp. 36 ss). Les conditions du besoin spécial de protection susmentionnées sont alternatives (TF 5C.262/2002 du 6 mars 2003, résumé in RDT 2003 117, p. 130 s.).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w:t>
      </w:r>
    </w:p>
    <w:p>
      <w:r>
        <w:rPr>
          <w:b/>
        </w:rPr>
        <w:t>E. 6</w:t>
      </w:r>
    </w:p>
    <w:p>
      <w:r>
        <w:t>mars 2003, résumé in RDT 2003 117, p. 130 s.).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(Deschenaux/Steinauer, op. cit., nn. 860 ss, pp. 334 ss; TF 5C.74/2003 du 3 juillet 2002, in FamPra.ch 2003, p. 975; TF 5A_55/2010 du 9 mars 2010, in SJ 2011 I 130). La mesure tutélaire doit avoir l'efficacité recherchée, tout en sauvegardant au maximum la sphère de liberté de l'intéressé (Deschenaux/Steinauer, op. cit., n. 862; TF 5A_550/2008 du 6 octobre 2008). Si plusieurs mesures paraissent aptes à atteindre le but visé, il faut choisir la plus légère. Il convient ainsi de préférer un conseil légal ou une curatelle à une tutelle si ces mesures sont suffisantes (Deschenaux/Steinauer, op. cit., nn. 861 s., pp. 339 s.; Zurbuchen, op. cit., pp. 124 et 125). c) Selon le rapport établi le 28 janvier 2011 par les médecins du Département de psychiatrie du CHUV, l'appelant souffre d'un trouble schizotypique et d'une consommation nocive pour la santé de cannabis. L'affection dont il souffre – appartenant aux troubles du spectre de la schizophrénie et aux troubles de la personnalité – est fortement ancrée dans la personnalité et le fonctionnement relationnel de la personne; il s'agit d'une affection chronique dont la durée ne peut être prévue. L'appelant ne se considère pas comme malade et pense ne pas avoir besoin d'aide. Les experts relèvent que cette caractéristique peut conduire à une péjoration du pronostic dès lors que la personne intéressée ne consulte pas ou n'adhère pas aux soins proposés, ce qui est le cas de l'appelant qui a déclaré lors de son audition le 8 mai 2012 qu'il n'avait pas de médecin et n'avait pas consulté son généraliste depuis deux ans (cf. décision querellée, p. 1) et qui semble refuser tout traitement thérapeutique depuis 1997 déjà (cf. courrier du Dr [...] du 12 octobre 2009; courriers de la sœur de l'appelant des 30 juillet 2009 et 25 octobre 2010). L'appelant présente un trouble qui n'est pas en soi de nature à l'empêcher d'apprécier la portée de ses actes ou de gérer ses affaires sans les compromettre et il n'a pas fait preuve d'absence de discernement durant ses entretiens avec les experts. Ces derniers observent cependant qu'à la lecture de ses messages et des déclarations de sa sœur, l'appelant semble présenter des moments où les symptômes liés à son trouble sont plus francs – même s'il le nie ou n'en a pas conscience – et des troubles importants du comportement depuis longtemps déjà et, qu'en fonction de leur intensité et de leur durée, qu'ils n'ont pas pu évaluer, sa capacité à apprécier la portée de ses actes ou à gérer ses affaires pourrait être diminuée. Les experts ont également fait état de la nécessité pour l'appelant de recevoir une aide sociale pouvant lui être amenée par des mesures tutélaires si sa situation sociale s'avérait catastrophique et ne pas avoir évolué depuis longtemps. En l'occurrence, l'appelant s'est fait expulser en 2010 de son appartement et séjourne provisoirement chez sa mère, avec qui il admet avoir des frictions et chez qui les forces de l'ordre ont déjà eu à intervenir en raison de son comportement vis-à-vis de cette dernière. Il sait qu'il doit quitter prochainement l'appartement de sa mère, mais ne dispose, en dehors d'une incertaine colocation dont il n'a pas précisé les modalités, d'aucune solution de logement. Il est sans revenu et a plusieurs poursuites ouvertes à son encontre. Cette situation perdure à tout le moins depuis son expulsion deux ans auparavant. Au regard de ces éléments, l'appelant, contrairement à ce qu'il affirme devant les experts et l'autorité tutélaire, ne gère absolument pas sa situation sociale qui est alarmante et rend nécessaire l'institution d'une mesure tutélaire en sa faveur. Il résulte des conclusions de l'expertise, qui sont convaincantes et qui restent actuelles, que tant la cause (état mental anormal) que la condition (besoin spécial de protection sous la forme d'une aide permanente) de l'interdiction civile sont réalisées. La situation de l'appelant ne paraît pas en voie d'être améliorée, puisque celui-ci est sans solution de logement, endetté et sans revenu et qu'il ne suit aucun traitement médicamenteux ou psychothérapeutique. Par ailleurs, l'appelant vit dans le déni persistant du caractère maladif de ses troubles, ce qui peut encore péjorer son pronostic, dès lors qu'il ne consulte pas et ne veut pas adhérer aux propositions d'assistance ou de soin. Dans leur rapport, les experts n'ont pas préconisé l'institution d'une mesure tutélaire en particulier. Cela étant, une mesure moins contraignante, telle une mise sous curatelle apparaît en l'espèce comme clairement insuffisante. Pareille mesure présuppose en effet une volonté du pupille de collaborer, dès lors qu'il conserve sa capacité civile (art. 417 al. 1 CC) et peut contrecarrer les actes du curateur (TF 5A_55/2010 du 9 mars 2010 c. 5.3, in SJ 2011 I 130; TF 5C.262/2002 du 6 mars 2003, résumé in RDT 2003 117, p. 130 s.); or, cette volonté de coopération fait totalement défaut chez l'appelant qui s'oppose catégoriquement à l'institution d'une mesure tutélaire en sa faveur estimant être en possession de ses moyens (cf. décision querellée, p. 2) et qui refuse tout suivi ou traitement médical. Au vu de ce qui précède, l'interdiction civile de l'appelant est justifiée au regard de l'article 369 CC et conforme aux principes de subsidiarité et de proportionnalité. d) Par ailleurs, il y a lieu de préciser que la mesure envisagée n'affecte pas la liberté de conscience et de croyance de l'appelant telle que garantie par l'art. 15 Cst (Constitution fédérale de la Confédération suisse du 18 avril 1999, RS 101). Elle n'est en effet nullement fondée sur les convictions religieuses de l'intéressé, mais uniquement sur son besoin de protection, lié à son état mental au sens de l'art. 369 CC. Partant, le moyen de l'appelant est mal fondé. 4. a) En définitive, le recours est sans objet, l'appel doit être rejeté et la décision entreprise confirmée. b) Le présent arrêt peut être rendu sans frais conformément à l'art. 236 al. 2 aTFJC (tarif des frais judiciaires en matière civile du 4 décembre 1984), qui continue à s'appliquer pour toutes les procédures visées à l'art. 174 CDPJ (art. 100 TFJC [tarif des frais judiciaires civils du 28 septembre 2010, RSV 270.11.5]) et à l'art. 396 al. 2 CPC-VD. Par ces motifs, la Chambre des tutelles du Tribunal cantonal, statuant à huis clos, prononce : I. Le recours est sans objet. II. L'appel est rejeté. III. La décision est confirmée. IV. L'arrêt est rendu sans frais. V. L'arrêt est exécutoire. Le président :              La greffière : Du L'arrêt qui précède, dont la rédaction a été approuvée à huis clos, est notifié à : ‑ N.________, ‑ C.________, - Office du Tuteur général,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