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609 vom 26. Juni 2012</w:t>
      </w:r>
    </w:p>
    <w:p>
      <w:r>
        <w:t>VD Tribunal cantonal, 2012-06-26, FR</w:t>
      </w:r>
    </w:p>
    <w:p>
      <w:r>
        <w:rPr>
          <w:b/>
        </w:rPr>
        <w:t xml:space="preserve">Quelle: </w:t>
      </w:r>
      <w:r>
        <w:t>https://mcp.opencaselaw.ch/entscheid/vd_findinfo_Arr_t___2012___609</w:t>
      </w:r>
    </w:p>
    <w:p>
      <w:r>
        <w:t>FR: VD_FINDINFO Arrêt / 2012 / 609 du 26 juin 2012</w:t>
      </w:r>
    </w:p>
    <w:p>
      <w:r>
        <w:t>IT: VD_FINDINFO Arrêt / 2012 / 609 del 26 giugno 2012</w:t>
      </w:r>
    </w:p>
    <w:p>
      <w:pPr>
        <w:pStyle w:val="Heading2"/>
      </w:pPr>
      <w:r>
        <w:t>Regeste</w:t>
      </w:r>
    </w:p>
    <w:p>
      <w:r>
        <w:t>PRIVATION DE LIBERTÉ À DES FINS D'ASSISTANCE, TUTELLE, CURATELLE DE GESTION, CURATELLE DE REPRÉSENTATION | 370 CC, 393 CPC, 489 CPC</w:t>
      </w:r>
    </w:p>
    <w:p>
      <w:pPr>
        <w:pStyle w:val="Heading2"/>
      </w:pPr>
      <w:r>
        <w:t>Erwägungen</w:t>
      </w:r>
    </w:p>
    <w:p>
      <w:r>
        <w:rPr>
          <w:b/>
        </w:rPr>
        <w:t>E. 1</w:t>
      </w:r>
    </w:p>
    <w:p>
      <w:r>
        <w:t>L'appel est dirigé contre une décision de l'autorité tutélaire instituant une mesure de tutelle à forme de l'art. 370 CC en faveur de l’appelant et ordonnant sa privation de liberté à des fins d'assistance pour une durée indéterminée. Seule la mesure tutélaire est contestée.</w:t>
      </w:r>
    </w:p>
    <w:p>
      <w:r>
        <w:rPr>
          <w:b/>
        </w:rPr>
        <w:t>E. 1.1</w:t>
      </w:r>
    </w:p>
    <w:p>
      <w:r>
        <w:t>Conformément à l'art. 393 CPC-VD (Code de procédure civile du 14 décembre 1966, RSV 270.11),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w:t>
      </w:r>
    </w:p>
    <w:p>
      <w:r>
        <w:rPr>
          <w:b/>
        </w:rPr>
        <w:t>E. 1.2</w:t>
      </w:r>
    </w:p>
    <w:p>
      <w:r>
        <w:t>Interjeté en temps utile par la personne interdite, l'appel est recevable à la forme.</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w:t>
      </w:r>
    </w:p>
    <w:p>
      <w:r>
        <w:rPr>
          <w:b/>
        </w:rPr>
        <w:t>E. 2.1</w:t>
      </w:r>
    </w:p>
    <w:p>
      <w:r>
        <w:t>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w:t>
      </w:r>
    </w:p>
    <w:p>
      <w:r>
        <w:rPr>
          <w:b/>
        </w:rPr>
        <w:t>E. 2.2</w:t>
      </w:r>
    </w:p>
    <w:p>
      <w:r>
        <w:t>En l'occurrence, H.________ était domicilié à Lausanne lorsque l'autorité tutélaire a ordonné l'ouverture d'une enquête à son endroit. La Justice de paix de ce district était donc compétente pour rendre la décision querellée. Le Juge de paix a informé l’intéressé de l'ouverture d'une enquête en privation de liberté en sa faveur et ordonné son expertise psychiatrique. Il a soumis le rapport d'expertise au Service de la santé publique qui a déclaré n'avoir aucune observation à formuler. La Municipalité de Lausanne a renoncé à émettre un préavis dans le cadre de l’enquête ouverte en faveur du pupille. Au terme de cette enquête, le Juge de paix a déféré la cause à la Justice de paix qui a notamment entendu le dénoncé avant de rendre la décision incriminée. Rendue conformément aux normes de procédure applicables, la décision attaquée est formellement correcte et peut donc être examinée quant au fond.</w:t>
      </w:r>
    </w:p>
    <w:p>
      <w:r>
        <w:rPr>
          <w:b/>
        </w:rPr>
        <w:t>E. 3</w:t>
      </w:r>
    </w:p>
    <w:p>
      <w:r>
        <w:t>L’interdiction de H.________ a été prononcée en application de l'art. 370 CC.</w:t>
      </w:r>
    </w:p>
    <w:p>
      <w:r>
        <w:rPr>
          <w:b/>
        </w:rPr>
        <w:t>E. 3.1.1</w:t>
      </w:r>
    </w:p>
    <w:p>
      <w:r>
        <w:t>A teneur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 boissons alcooliques dû à un penchant anormal (Deschenaux/ Steinauer, Personnes physiques et tutelle, 4 e éd., 2001, n. 129, p. 41). Il convient de restreindre l'application de l'art. 370 CC au cas où la personne en cause ne peut plus renoncer par ses propres forces à une consommation excessive d'alcool (ATF 78 II 333, JT 1953 I 499). L'ivrognerie à elle seule n'est pas une cause suffisante d'interdiction si elle n'entraîne pas un échec social de la personne qui doit être interdite (ATF 106 II 298, JT 1981 I 293). La notion de mauvaise gestion doit être interprétée restrictivement. Elle consiste dans une gestion défectueuse, dans une négligence extraordinaire dans l'administration de la fortune, qui doit avoir sa cause subjective dans la faiblesse de l'intelligence ou de la volonté. Il peut y avoir mauvaise gestion non seulement lorsqu'une fortune existante est administrée de manière insensée et incompréhensible, mais aussi lorsque l'intéressé ne se procure pas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(TF 5C.131/2006 du 17 octobre 2006, publié in Revue du droit de la tutelle 2007, p. 81). Une interdiction fondée sur l'art. 370 CC suppose un besoin spécial de protection (condition d'interdiction), à savoir, selon la disposition précitée, le risque pour l'intéressé ou sa famille de tomber dans le besoin, le besoin de soins et secours permanents ou la menace pour la sécurité d'autrui. Les conditions du besoin spécial de protection susmentionnées sont alternatives (Deschenaux/Steinauer, op. cit., nn. 116 ss, pp. 36 ss;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nos 860 ss, pp. 334 ss; TF 5C.74/2003 du 3 juillet 2003, in FamPra.ch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130).</w:t>
      </w:r>
    </w:p>
    <w:p>
      <w:r>
        <w:rPr>
          <w:b/>
        </w:rPr>
        <w:t>E. 3.1.2</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(Deschenaux/Steinauer, op. cit., n. 1092, pp. 409 et 410).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rPr>
          <w:b/>
        </w:rPr>
        <w:t>E. 3.2</w:t>
      </w:r>
    </w:p>
    <w:p>
      <w:r>
        <w:t>L’appelant, qui ne conteste pas son placement, s’oppose à l’institution d’une tutelle et explique ne pas être opposé à une curatelle, souhaitant être soutenu et apprendre à gérer sa situation administrative.</w:t>
      </w:r>
    </w:p>
    <w:p>
      <w:r>
        <w:rPr>
          <w:b/>
        </w:rPr>
        <w:t>E. 3.2.1</w:t>
      </w:r>
    </w:p>
    <w:p>
      <w:r>
        <w:t>Selon les experts, l’appelant souffre d'alcoolisme. Après une période d’abstinence de près de sept ans, sa consommation d’alcool est à nouveau devenue problématique lorsqu'il s'est trouvé confronté à des difficultés personnelles. Lors de périodes de consommations abusives et quotidiennes d'alcool, l'appelant présente des symptômes dépressifs et a des idées suicidaires qui peuvent favoriser un passage à l'acte. Même lorsqu'il n'absorbe qu'épisodiquement de l'alcool, il constitue un danger pour les usagers de la route ainsi que pour lui-même lorsqu'il conduit un véhicule. Par ailleurs, si, lorsqu'il est abstinent, l’appelant est en mesure de gérer ses affaires administratives et financières sans difficulté, il n'en est plus de même lorsqu'il cède à son penchant. Les factures deviennent alors une préoccupation secondaire et le pupille achète sans compter de l'alcool et des articles d'habillement et de multimédia, accumulant ainsi les dettes. La capacité de l'appelant à gérer ses affaires s'avère donc compromise lorsqu'il ne contrôle plus sa consommation d'alcool. Au vu des constatations qui précèdent, la cause et la condition d’une mesure tutélaire apparaissent réalisées. L’appelant ne le conteste d'ailleurs pas, puisqu’il requiert lui-même l’instauration d’une curatelle. Reste par conséquent à examiner le choix de la mesure tutélaire à prononcer.</w:t>
      </w:r>
    </w:p>
    <w:p>
      <w:r>
        <w:rPr>
          <w:b/>
        </w:rPr>
        <w:t>E. 3.2.2</w:t>
      </w:r>
    </w:p>
    <w:p>
      <w:r>
        <w:t>Sous l'angle du principe de proportionnalité, il y a lieu de relever que les experts ne préconisent pas l’instauration d’une tutelle. Ils expliquent que, depuis le prononcé de la mesure de privation de liberté à des fins d'assistance, l'appelant dispose d’une aide pour gérer ses affaires administratives et que ce soutien semble lui convenir. Ils considèrent qu’il est important pour lui qu’il puisse bénéficier, pendant quelques mois, d’un placement en institution spécialisée en alcoologie (milieu ouvert) et qu'il serait judicieux de compléter cette mesure par un traitement intensif, un encadrement et un mode de surveillance étroit qui lui donneraient le temps de comprendre comment il a évolué au cours de la dernière année. La durée précise de cette prise en charge, en terme de mise en danger et d'adhésion au traitement proposé, devrait s'apprécier en fonction des facultés du pupille à prendre la mesure du chemin parcouru. Selon la Fondation G.________, la situation de l’appelant s’est améliorée depuis son placement. Une abstinence totale a été maintenue depuis le bilan du 18 octobre 2011 et l’intéressé a su mettre en place des stratégies qui lui permettent d'éviter de céder à son penchant. Il poursuit comme objectifs de récupérer son permis de conduire, de voir plus souvent sa fille, de rechercher un appartement et de reprendre une activité professionnelle. En outre, il se montre collaborant : il a accepté son placement à la fondation pour résoudre son problème d'alcoolémie et est abstinent depuis environ dix mois. Par ailleurs, lorsqu'il ne consomme pas d'alcool, il est en mesure de gérer ses affaires administratives et dispose à cet égard de l'aide d'une conseillère. Il se dit prêt à prendre contact avec V.________, de la maison J.________, à Lausanne, qu’il souhaite voir désignée comme sa curatrice. Au regard du principe de proportionnalité, une curatelle combinée apparaît ainsi suffisante pour sauvegarder les intérêts de l’appelant. La publication de la curatelle n'est pas opportune. Vu l'existence de dettes, l'instauration de la mesure doit être communiquée à l'Office des poursuites du domicile de l'intéressé (cf. art. 397 al. 3 CC). L'autorité tutélaire, à qui la cause doit être renvoyée pour nomination d'un curateur, devra examiner si la personne susmentionnée est en mesure d’assumer le mandat de curateur et, dans la négative, si le cas peut être confié à un curateur privé ou doit être confié à l'Office du tuteur général (cf. art. 97 a LVCC).</w:t>
      </w:r>
    </w:p>
    <w:p>
      <w:r>
        <w:rPr>
          <w:b/>
        </w:rPr>
        <w:t>E. 4</w:t>
      </w:r>
    </w:p>
    <w:p>
      <w:r>
        <w:t>En conclusion, l’appel doit être admis et la décision réformée en ce sens qu'une mesure de curatelle combinée à forme des art. 392 ch. 1 et 393 ch. 2 CC est instituée en faveur de l'appelant, le dossier étant renvoyé à la Justice de paix du district de Lausanne pour désignation d'un curateur dans le sens des considérants. Le présent arrêt peut être rendu sans frais, en application de l’art. 236 al. 2 aTFJC (Tarif du 4 décembre 1984 des frais judiciaires en matière civile, RSV 270.11.5, qui continue à s’appliquer pour toutes les procédures visées à l’art. 174 CDPJ, conformément à l’art. 100 TFJC [Tarif des frais judiciaires civils du 28 septembre 2010 ; RSV 270.11.5]). Par ces motifs, la Chambre des tutelles du Tribunal cantonal, statuant à huis clos, prononce : I. L'appel est admis. II. Il est statué à nouveau comme il suit : I. clôt l'enquête en interdiction civile et en privation de liberté à des fins d'assistance ouverte le 8 juin 2011 à l'endroit de H.________; II. institue une mesure de curatelle combinée à forme des art. 392 ch. 1 et 393 ch. 2 CC en faveur de H.________, fils de [...] et [...], né le [...] 1968 à [...], originaire de [...], divorcé, domicilié route [...], [...]; III.              ordonne une privation de liberté à des fins d'assistance pour une durée indéterminée de H.________, à la Fondation G.________, ou dans tout autre établissement approprié à son état de santé; IV. communique le chiffre II de la présente décision à l'Office des poursuites du district du Gros-de-Vaud; V.     laisse les frais de la présente cause à la charge de l'Etat. III. La cause est renvoyée à la Justice de paix du district de Lausanne pour désignation d'un curateur. IV. L'arrêt est rendu sans frais. Le président :              La greffière : Du 26 juin 2012 Le dispositif de l'arrêt qui précède est communiqué par écrit aux intéressés. La  greffière  : Du L'arrêt qui précède, dont la rédaction a été approuvée à huis clos, est notifié à : ‑ M. H.________, ‑ M. le Tuteur général, - Office des poursuites du district du Gros-de-Vaud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