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575 vom 16. Juli 2012</w:t>
      </w:r>
    </w:p>
    <w:p>
      <w:r>
        <w:t>VD Tribunal cantonal, 2012-07-16, FR</w:t>
      </w:r>
    </w:p>
    <w:p>
      <w:r>
        <w:rPr>
          <w:b/>
        </w:rPr>
        <w:t xml:space="preserve">Quelle: </w:t>
      </w:r>
      <w:r>
        <w:t>https://mcp.opencaselaw.ch/entscheid/vd_findinfo_Arr_t___2012___575</w:t>
      </w:r>
    </w:p>
    <w:p>
      <w:r>
        <w:t>FR: VD_FINDINFO Arrêt / 2012 / 575 du 16 juillet 2012</w:t>
      </w:r>
    </w:p>
    <w:p>
      <w:r>
        <w:t>IT: VD_FINDINFO Arrêt / 2012 / 575 del 16 luglio 2012</w:t>
      </w:r>
    </w:p>
    <w:p>
      <w:pPr>
        <w:pStyle w:val="Heading2"/>
      </w:pPr>
      <w:r>
        <w:t>Regeste</w:t>
      </w:r>
    </w:p>
    <w:p>
      <w:r>
        <w:t>CURATELLE ÉDUCATIVE, DROIT D'ÊTRE ENTENDU | 307 CC, 308 al. 2 CC, 420 CC, 489 CPC</w:t>
      </w:r>
    </w:p>
    <w:p>
      <w:pPr>
        <w:pStyle w:val="Heading2"/>
      </w:pPr>
      <w:r>
        <w:t>Erwägungen</w:t>
      </w:r>
    </w:p>
    <w:p>
      <w:r>
        <w:rPr>
          <w:b/>
        </w:rPr>
        <w:t>E. 1</w:t>
      </w:r>
    </w:p>
    <w:p>
      <w:r>
        <w:t>a) Les recours déposés par chacun des parents de l'enfant B.F.________ sont dirigés contre une décision de la justice de paix fixant les modalités de l'exercice du droit de visite d’un père sur son fils mineur (art. 273 ss CC). Le CPC-VD (Code de procédure civile vaudoise du 14 décembre 1966, RSV 270.11) reste applicable aux voies de droit, nonobstant l'entrée en vigueur, le 1 er janvier 2011, du CPC (Code de procédure civile suisse du 19 décembre 2008 ; RS 272), conformément à l'art. 174 CDPJ (Code de droit privé judiciaire vaudois du 12 janvier 2010 ; RSV 211.01). b) Selon la jurisprudence du Tribunal fédéral (ATF 107 II 499, JT 1983 I 335 c. 2b), critiquée par la doctrine (Hegnauer, Berner Kommentar, n. 94 ad art. 275 CC, p. 164 ; Poudret/Sandoz-Monod, Commentaire de la loi fédérale d'organisation judiciaire, vol. II, 190, n. 1.2.24 ad Titre II, pp. 12-13 ; ATF 118 Ia 473 c. 2, JT 1995 I 623), la question des relations personnelles avec un enfant mineur constitue une matière non contentieuse. Contre les décisions en matière de relations personnelles, le recours non contentieux de l'art. 420 al. 2 CC est ainsi ouvert à la Chambre des tutelles (Schwenzer, Basler Kommentar, 4 e éd., 2010, n. 6 ad art. 275 CC, p. 1484; art. 76 LOJV, Loi vaudoise d'organisation judiciaire du 12 décembre 1979, RSV 173.01), qu'il s'agisse de mesures d'urgence (Poudret/Haldy/Tappy, Procédure civile vaudoise, 3 e éd., Lausanne 2002, n. 3 ad art. 401 CPC-VD, p. 619; JT 2003 III 35 c. 1c) ou d'une décision au fond (CTUT 20 janvier 2010/18). Ce recours, qui s'instruit conformément aux art. 489 ss CPC-VD, s'exerce par acte écrit dans les dix jours dès la communication de la décision attaquée (art. 109 al. 3 LVCC, Loi d'introduction dans le Canton de Vaud du Code civil suisse du 30 novembre 1910, RSV 211.01; art. 492 al. 1 et 2 CPC-VD). Il est ouvert au pupille capable de discernement, ainsi qu'à tout intéressé (art. 420 al. 1 CC et 405 CPC-VD, par analogie), soit notamment à chacun des parents dans les causes concernant les relations personnelles avec un enfant mineur (Hegnauer, Droit suisse de la filiation et de la famille, 4 e éd., Berne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En l'espèce, interjeté en temps utile par la mère du mineur concerné, qui a la qualité d'intéressée (ATF 121 III 1 c. 2a, JT 1996 I 662), le recours déposé par Q.________ est recevable à la forme. Il en est de même du mémoire en réponse déposé par A.F.________ et du recours exercé par ses soins, lequel est réputé avoir été déposé en temps utile, dès lors qu'il n'est pas établi que A.F.________ a reçu la citation à comparaître à l'audience de la Justice de paix du 2 mai 2012 ainsi que la décision tutélaire qui y a fait suite le même jour (cf. infra 2d).</w:t>
      </w:r>
    </w:p>
    <w:p>
      <w:r>
        <w:rPr>
          <w:b/>
        </w:rPr>
        <w:t>E. 2</w:t>
      </w:r>
    </w:p>
    <w:p>
      <w:r>
        <w:t>a) Lorsqu'elle est saisie d'un recours non contentieux,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 Tappy, op. cit., nn. 3 et 4 ad art. 492 CPC-VD, p. 763). b) De manière implicite, A.F.________ invoque en premier lieu, dans son recours, la violation de son droit d'être entendu, faisant valoir qu'il n'a jamais reçu la convocation à l'audience du 2 mai 2012 ni d'ailleurs la décision attaquée. Dans la mesure où le grief invoqué par A.F.________ entraînera, s'il est admis, l'annulation de la décision incriminée et le renvoi de la cause à l'autorité tutélaire, le recours de A.F.________ doit être examiné en premier lieu. Le recours de Q.________ sera traité en second lieu si le recours de A.F.________ est rejeté. c) Selon la jurisprudence, le droit d'être entendu a pour but de permettre d'élucider les points obscurs de l'état de fait et garantit à la personne concernée le droit d'être personnellement active dans la procédure ; il assure le droit de s'exprimer avant que ne tombe un jugement, la possibilité d'apporter des preuves décisives, l'accès au dossier, le droit de participer à l'administration des preuves ou, à tout le moins, de pouvoir donner son avis sur le résultat d'une preuve si cet avis est de nature à influer sur la décision (ATF 129 II 497). Le fardeau de la preuve de la notification incombe à l'autorité qui entend en tirer une conséquence juridique (ATF 129 I 8 c.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 2a p. 402). L'autorité qui entend se prémunir contre le risque d'échec de la preuve de la notification doit communiquer ses actes judiciaires sous pli recommandé avec accusé de réception (ATF 129 I 8 c. 2.2 p. 11). d) Dans le cas d'espèce, il résulte du dossier que la Justice de paix, saisie le 29 mars 2012 par le SPJ d'une demande de levée de son mandat de curateur au sens de l'art. 308 al. 2 CC instauré le 23 juin 2010 en faveur de l'enfant des parties, a adressé au recourant une citation à comparaître à l'audience du 2 mai 2012, sous pli simple, en courrier A, à l'adresse [...]". Le recourant déclare n'avoir jamais reçu cette citation à comparaître. Le mode de communication employé pour adresser la citation au recourant ne permettait pas à l'autorité tutélaire de s'assurer que celui-ci avait été régulièrement cité à comparaître. Ainsi, comme il ne peut être établi que le recourant a bien reçu la convocation à l'audience du 2 mai 2012, il convient dans ces circonstances de se fonder sur ses déclarations et d'admettre que le recours interjeté par ses soins contre la décision incriminée l'a été en temps utile et que cette décision – l'intéressé n'ayant pu faire valoir ses moyens – a été rendue en violation de son droit d'être entendu. La jurisprudence permet certes de renoncer à l'annulation d'une décision violant le droit d'être entendu lorsque l'autorité de recours dispose d'un plein pouvoir d'examen lui permettant de réparer le vice en seconde instance et pour autant que le vice ne porte pas sur un point décisif (Poudret/Haldy/Tappy, op. cit., n. 2 ad art. 2 CPC-VD, p. 11 ; ATF 126 V 130 c. 2b ; ATF 124 V 389 c. 5a). Tel n'étant toutefois pas le cas en l'espèce, la décision querellée doit être annulée et la cause renvoyée à la Justice de paix afin qu'elle donne à l'intimé la possibilité d'exercer son droit d'être entendu et qu'elle rende ensuite une nouvelle décision (cf. CTUT 12 avril 2012/115).</w:t>
      </w:r>
    </w:p>
    <w:p>
      <w:r>
        <w:rPr>
          <w:b/>
        </w:rPr>
        <w:t>E. 3</w:t>
      </w:r>
    </w:p>
    <w:p>
      <w:r>
        <w:t>Il résulte de ce qui précède que le recours de A.F.________ doit être admis, la décision entreprise annulée et la cause renvoyée à la Justice de paix pour qu'elle procède dans le sens des considérants et rende une nouvelle décision. Vu le sort réservé au recours interjeté par A.F.________, il n'y a pas lieu d'examiner le recours de Q.________, qui doit être déclaré sans objet.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Par ces motifs, la Chambre des tutelles du Tribunal cantonal, statuant à huis clos, prononce : I. Le recours de A.F.________ est admis. II. La décision est annulée et la cause renvoyée à la Justice de paix du district de Morges pour qu'elle procède dans le sens des considérants et rende une nouvelle décision. III. Le recours de Q.________ est sans objet. IV. L'arrêt est rendu sans frais. V. L'arrêt motivé est exécutoire. Le président :              La greffière : Du 16 juillet 2012 Le dispositif de l'arrêt qui précède est communiqué par écrit aux intéressés. La  greffière  : Du L'arrêt qui précède, dont la rédaction a été approuvée à huis clos, est notifié à : ‑ Mme Q.________, ‑ M. A.F.________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