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518 vom 11. Juli 2012</w:t>
      </w:r>
    </w:p>
    <w:p>
      <w:r>
        <w:t>VD Tribunal cantonal, 2012-07-11, FR</w:t>
      </w:r>
    </w:p>
    <w:p>
      <w:r>
        <w:rPr>
          <w:b/>
        </w:rPr>
        <w:t xml:space="preserve">Quelle: </w:t>
      </w:r>
      <w:r>
        <w:t>https://mcp.opencaselaw.ch/entscheid/vd_findinfo_Arr_t___2012___518</w:t>
      </w:r>
    </w:p>
    <w:p>
      <w:r>
        <w:t>FR: VD_FINDINFO Arrêt / 2012 / 518 du 11 juillet 2012</w:t>
      </w:r>
    </w:p>
    <w:p>
      <w:r>
        <w:t>IT: VD_FINDINFO Arrêt / 2012 / 518 del 11 luglio 2012</w:t>
      </w:r>
    </w:p>
    <w:p>
      <w:pPr>
        <w:pStyle w:val="Heading2"/>
      </w:pPr>
      <w:r>
        <w:t>Regeste</w:t>
      </w:r>
    </w:p>
    <w:p>
      <w:r>
        <w:t>PRIVATION DE LIBERTÉ À DES FINS D'ASSISTANCE, TUTELLE | 369 CC, 379 CPC, 393 CPC</w:t>
      </w:r>
    </w:p>
    <w:p>
      <w:pPr>
        <w:pStyle w:val="Heading2"/>
      </w:pPr>
      <w:r>
        <w:t>Erwägungen</w:t>
      </w:r>
    </w:p>
    <w:p>
      <w:r>
        <w:rPr>
          <w:b/>
        </w:rPr>
        <w:t>E. 1</w:t>
      </w:r>
    </w:p>
    <w:p>
      <w:r>
        <w:t>L’appel est dirigé contre une décision de l’autorité tutélaire instituant une mesure de tutelle à forme de l’art. 369 CC en faveur du recourant et ordonnant sa privation de liberté à des fins d’assistance pour une durée indéterminée. Seule la mesure tutélaire est contestée.</w:t>
      </w:r>
    </w:p>
    <w:p>
      <w:r>
        <w:rPr>
          <w:b/>
        </w:rPr>
        <w:t>E. 1.1</w:t>
      </w:r>
    </w:p>
    <w:p>
      <w:r>
        <w:t>Conformément à l’art. 393 CPC-VD (Code de procédure civile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CTUT 15 novembre 2011/218 et réf citées; CTUT 23 juin 2005/94).</w:t>
      </w:r>
    </w:p>
    <w:p>
      <w:r>
        <w:rPr>
          <w:b/>
        </w:rPr>
        <w:t>E. 1.2</w:t>
      </w:r>
    </w:p>
    <w:p>
      <w:r>
        <w:t>En l’espèce, l’appel a été interjeté en temps utile par le pupille lui-même, qui a la qualité pour recourir (art. 420 al. 1 CC). Exercé conformément aux règles de procédure applicables, l’appel est par conséquent recevable à la forme.</w:t>
      </w:r>
    </w:p>
    <w:p>
      <w:r>
        <w:rPr>
          <w:b/>
        </w:rPr>
        <w:t>E. 2</w:t>
      </w:r>
    </w:p>
    <w:p>
      <w:r>
        <w:t>En matière non contentieuse, la Chambre des tutelles peut examiner d’office si les règles essentielles de la procédure d’interdiction, dont la violation pourrait entraîner l’annulation du jugement attaqué, ont été respectées (Poudret/ Haldy/Tappy, Procédure civile vaudoise, 3 e éd., Lausanne 2002, n. 3 ad art. 492 CPC, p. 763, par analogie). Dans le canton de Vaud, la procédure en matière d’interdiction est régie par les art. 379 ss CPC-VD, sous réserve des règles de procédure fédérales définies aux art. 373 à 375 CC.</w:t>
      </w:r>
    </w:p>
    <w:p>
      <w:r>
        <w:rPr>
          <w:b/>
        </w:rPr>
        <w:t>E. 2.1</w:t>
      </w:r>
    </w:p>
    <w:p>
      <w:r>
        <w:t>Selon l’art. 379 al. 1 CPC-VD, les demandes d’interdiction formées par les particuliers ou une autorité administrative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une fois l’enquête terminée, le juge de paix la soumet à la justice de paix qui peut ordonner un complément d’enquête (al. 1). La justice de paix entend le dénoncé, l’art. 380 al. 5 CPC-VD étant réservé (al. 2). Si la justice de paix estime la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w:t>
      </w:r>
    </w:p>
    <w:p>
      <w:r>
        <w:rPr>
          <w:b/>
        </w:rPr>
        <w:t>E. 2.2</w:t>
      </w:r>
    </w:p>
    <w:p>
      <w:r>
        <w:t>En l’espèce, au moment de l’ouverture de l’enquête en interdiction civile et en placement à des fins d’assistance par le Juge de paix, A.Z.________ était domicilié à Puidoux. La Justice de paix du district de Lavaux-Oron était donc compétente pour statuer sur l’opportunité de la mesure tutélaire ordonnée. Le Juge de paix a procédé à une enquête et ordonné une expertise médicale. Il a soumis le rapport d’expertise au Conseil de santé, qui, par l’intermédiaire du Médecin cantonal agissant par délégation, a déclaré ne pas avoir d’observation à formuler. La Municipalité de Puidoux a préavisé en faveur de l’institution d’une mesure tutélaire. Au terme de l’enquête, le Juge de paix a déféré la cause à la Justice de paix qui a notamment entendu le dénoncé lors de sa séance du 23 janvier 2012 avant de rendre la décision querellée. Rendue en application des dispositions de procédure applicables, la décision attaquée est par conséquent formellement correcte et peut être examinée quant au fond.</w:t>
      </w:r>
    </w:p>
    <w:p>
      <w:r>
        <w:rPr>
          <w:b/>
        </w:rPr>
        <w:t>E. 3</w:t>
      </w:r>
    </w:p>
    <w:p>
      <w:r>
        <w:t>L’interdiction d’A.Z.________ a été prononcée en application de l’art. 369 CC.</w:t>
      </w:r>
    </w:p>
    <w:p>
      <w:r>
        <w:rPr>
          <w:b/>
        </w:rPr>
        <w:t>E. 3.1.1</w:t>
      </w:r>
    </w:p>
    <w:p>
      <w:r>
        <w:t>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(ATF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précité).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339 ss; ATF 5A_568/2007 du 4 février 2008). Selon le principe de proportionnalité, la mesure tutélaire doit avoir l’efficacité recherchée, tout en sauvegardant au maximum la sphère de liberté de l’intéressé (Deschenaux/Steinauer, op. cit., n. 862; Schnyder/Murer, Berner Kommentar, n. 162 ad art. 369 CC; Langenegger, Commentaire bâlois, 3 e éd., nos 29 ss ad art. 369 CC; ATF 5A_550/2008 du 6 octobre 2008). Le but d’une mesure tutélaire est de protéger le faible contre lui-même et l’exploitation par des tiers. Une mesure est disproportionnée si elle est trop radicale ou trop faible pour atteindre ce but (ATF 5C.74/2003 du 3 juillet 2003 c. 4.2, in FamPra.ch 2003, p. 975; Affolter, Commentaire bâlois, 3 e éd., n. 60 ad art. 406 CC, p. 2040 ; Stettler, Droit Civil I, Représentation et protection de l’adulte, 4 e éd., n. 80, pp 42 et 43).</w:t>
      </w:r>
    </w:p>
    <w:p>
      <w:r>
        <w:rPr>
          <w:b/>
        </w:rPr>
        <w:t>E. 3.1.2</w:t>
      </w:r>
    </w:p>
    <w:p>
      <w:r>
        <w:t>Aux termes de l’art. 392 ch. 1 CC, l’autorité tutélaire institue une curatelle soit à la requête d’un intéressé, soit d’office, dans les cas prévus par la loi et, en outre, lorsqu’un majeur ne peut, pour cause de maladie, d’absence ou d’autres causes semblables, agir dans une affaire urgente ni désigner lui-même un représentant. Selon l’art. 393 ch. 2 CC, l’autorité tutélaire est en outre tenue d’instituer une curatelle, lorsque, notamment, un individu est incapable de gérer lui-même ses biens ou de choisir un mandataire, sans qu’il y ait lieu cependant de lui nommer un tuteur. De manière générale, une curatelle de gestion ne peut être instaurée que lorsque les biens d’une personne ne sont plus gérés, qu’il s’agisse de l’ensemble de son patrimoine ou d’une partie seulement de celui-ci. Pour que la désignation d’un curateur se justifie au sens de l’art. 393 ch. 2 CC, il faut en particulier que l’incapacité de la personne concernée, qui peut résulter de l’une des causes mentionnées aux art. 369 à 372 ou 392 ch. 1 CC, soit telle que l’ayant droit ne peut pas désigner et/ou surveiller lui-même un représentant et qu’il ne se justifie pas de prendre une mesure d’assistance plus importante (Deschenaux/Steinauer, op. cit., nn. 1106 ss, pp. 415 ss). Il est aussi possible d’ordonner simultanément une curatelle de représentation et une curatelle de gestion, notamment en se fondant sur les art. 392 ch. 1 et 393 ch. 2 CC; on peut alors parler de curatelle combinée (Deschenaux/ Steinauer, op. cit., n. 1092, pp. 409 et 410). Dans de nombreux cas, la curatelle combinée répond aux exigences de représentation, de protection et d’assistance de la personne atteinte mentalement ou faible d’esprit et peut constituer une alternative intéressante à la mise sous tutelle, en particulier lorsque le pupille est en mesure de bénéficier d’une assistance personnalisée, fournie par la famille ou un organisme d’aide sociale. Dans de tels cas, instaurer une curatelle combinée en lieu et place d’une tutelle a l’avantage de respecter les principes de proportionnalité et de subsidiarité qui prévalent en la matière et, partant, de ne limiter la sphère de liberté du pupille que dans la mesure nécessaire (Langenegger, Basler Kommentar, nn. 33 à 35 ad art. 369 CC). En particulier, la curatelle combinée est de plus en plus souvent utilisée pour fournir une assistance tutélaire aux personnes âgées ou placées (Deschenaux/Steinauer, op. cit., n. 871a, p. 342 et références citées; Langenegger, op. cit., n. 34 ad art. 369 CC). Dans le cadre d’une telle curatelle, la mission du curateur est générale et permet d’apporter à la personne l’aide personnelle ou administrative dont elle a besoin. Une curatelle combinée est nécessaire même lorsque le pupille a accordé une procuration générale, s’il n’est pas en tout temps à même de contrôler et de surveiller, du moins en principe, ses représentants, ainsi que de les remplacer au besoin (ATF 134 III 385).</w:t>
      </w:r>
    </w:p>
    <w:p>
      <w:r>
        <w:rPr>
          <w:b/>
        </w:rPr>
        <w:t>E. 3.2</w:t>
      </w:r>
    </w:p>
    <w:p>
      <w:r>
        <w:t>Il résulte de l’expertise établie le 9 décembre 2011 qu’A.Z.________ souffre d’une schizophrénie paranoïde depuis 1966, qu’il a fait de nombreuses décompensations psychotiques, qu’il n’est pas en mesure d’adhérer à un suivi psychiatrique ambulatoire et qu'il présente des risques de comportement hétéro-agressif.  A cela s’ajoute, sur le plan clinique, un diabète insulinodépendant qu’il gère mal et qui peut engendrer un coma hypo ou hyperglycémique. Les premiers juges ont ainsi retenu que seul un encadrement par une institution pouvait éviter que l’intéressé se mette en danger et ont prononcé son placement à des fins d’assistance, ce qui n’est pas contesté par l’appelant ni par son frère désigné tuteur. Seule est litigieuse la question de la mise sous tutelle d’A.Z.________. A cet égard, l’appelant explique succinctement qu’il est tout à fait capable de gérer ses affaires lui-même, ce que confirme son frère. La décision entreprise n’est pas motivée s’agissant de l’interdiction civile, les premiers juges ayant seulement mentionné qu’il y avait lieu d’instituer une tutelle. A l’examen du dossier, il apparaît que l’appelant a été expulsé de son appartement avec effet au 31 mars 2011 pour des problèmes de voisinage et que ses affaires administratives étaient gérées, avant son placement, en collaboration avec un travailleur social du M.________, G.________. Celui-ci a indiqué au juge que l’appelant gérait adéquatement ses affaires financières, qu’il ne dilapidait pas sa fortune et qu’ils avaient finalisé ensemble la dernière déclaration fiscale. Les problèmes psychiques du pupille rendent cependant ses relations avec autrui problématiques. A la question de savoir si l’appelant pouvait apprécier la portée de ses actes et gérer ses affaires sans les compromettre, les experts ont répondu que l'intéressé s’occupait correctement de ses affaires mais qu’il était prudent qu’une tierce personne puisse veiller à la bonne tenue des ses affaires compte tenu des déficits neuropsychologiques dont il souffrait et qui avaient été objectivés au mois de mai 2011. Au vu des éléments qui précèdent, le placement à des fins d'assistance prononcé en faveur du dénoncé lui apporte l’encadrement médical et personnel dont il a besoin. L’interdiction civile dont il fait l'objet apparaît par conséquent excessive et disproportionnée. Au vu de ce constat, la décision critiquée doit dans ces conditions être annulée et la cause renvoyée à la Justice de paix afin qu’elle examine si une curatelle combinée - qui serait suffisante et adéquate pour assurer une aide administrative - est nécessaire compte tenu de l’évolution de la situation depuis décembre 2011 ou si l’intéressé est encore à même de gérer lui-même ses affaires comme l'ont retenu les experts. En outre, il est précisé qu’une telle mesure ne saurait en aucun cas être instituée en prévision d’une détérioration future et alors même que le pupille possèderait encore ses facultés.</w:t>
      </w:r>
    </w:p>
    <w:p>
      <w:r>
        <w:rPr>
          <w:b/>
        </w:rPr>
        <w:t>E. 4</w:t>
      </w:r>
    </w:p>
    <w:p>
      <w:r>
        <w:t>En conclusion, l’appel doit être admis, la décision annulée aux chiffres III à VI de son dispositif et la cause renvoyée à la Justice de paix pour nouvelle instruction et nouvelle décision dans le sens des considérants. Elle est confirmée pour le surplus.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L'appel est admis. II. La décision est annulée aux chiffres III à VI de son dispositif, la cause étant renvoyée à la Justice de paix du district de Lavaux-Oron pour nouvelle instruction et nouvelle décision dans le sens des considérants. La décision est confirmée pour le surplus. III. L'arrêt est rendu sans frais. IV. L'arrêt motivé est exécutoire. Le président :              La greffière : Du 11 juillet 2012 Le dispositif de l'arrêt qui précède est communiqué par écrit aux intéressés. La  greffière  : Du L'arrêt qui précède, dont la rédaction a été approuvée à huis clos, est notifié à : ‑ M. A.Z.________, ‑ M. B.Z.________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