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511 vom 22. Mai 2012</w:t>
      </w:r>
    </w:p>
    <w:p>
      <w:r>
        <w:t>VD Tribunal cantonal, 2012-05-22, FR</w:t>
      </w:r>
    </w:p>
    <w:p>
      <w:r>
        <w:rPr>
          <w:b/>
        </w:rPr>
        <w:t xml:space="preserve">Quelle: </w:t>
      </w:r>
      <w:r>
        <w:t>https://mcp.opencaselaw.ch/entscheid/vd_findinfo_Arr_t___2012___511</w:t>
      </w:r>
    </w:p>
    <w:p>
      <w:r>
        <w:t>FR: VD_FINDINFO Arrêt / 2012 / 511 du 22 mai 2012</w:t>
      </w:r>
    </w:p>
    <w:p>
      <w:r>
        <w:t>IT: VD_FINDINFO Arrêt / 2012 / 511 del 22 maggio 2012</w:t>
      </w:r>
    </w:p>
    <w:p>
      <w:pPr>
        <w:pStyle w:val="Heading2"/>
      </w:pPr>
      <w:r>
        <w:t>Regeste</w:t>
      </w:r>
    </w:p>
    <w:p>
      <w:r>
        <w:t>COMMUNICATION AVEC LE DÉFENSEUR, VISITE, CURATELLE ÉDUCATIVE | 273 al. 1 CC, 308 al. 1 CC, 420 al. 2 CC, 405 CPC, 489 CPC, 174 al. 2 CDPJ</w:t>
      </w:r>
    </w:p>
    <w:p>
      <w:pPr>
        <w:pStyle w:val="Heading2"/>
      </w:pPr>
      <w:r>
        <w:t>Erwägungen</w:t>
      </w:r>
    </w:p>
    <w:p>
      <w:r>
        <w:rPr>
          <w:b/>
        </w:rPr>
        <w:t>E. 1</w:t>
      </w:r>
    </w:p>
    <w:p>
      <w:r>
        <w:t>Le recours est dirigé contre une décision de la justice de paix fixant d'une part les modalités de l'exercice du droit de visite d’un père sur son fils mineur, dont l’autorité parentale et la garde appartiennent à la mère (art. 273 ss CC, Code civil suisse du 10 décembre 1907, RS 210), et instituant d'autre part une mesure de curatelle à forme de l'art. 308 al. 1 CC. a) Contre les décisions en matière de relations personnelles, le recours non contentieux de l'art. 420 al. 2 CC est ouvert à la Chambre des tutelles (Schwenzer, Basler Kommentar, 4 e éd., 2010, n. 6 ad art. 275 CC, p. 1484; art. 76 LOJV, Loi vaudoise d'organisation judiciaire du 12 décembre 1979, RSV 173.01), qu'il s'agisse de mesures d'urgence (Poudret/Haldy/Tappy, Procédure civile vaudoise, 3 e éd., Lausanne 2002, n. 3 ad art. 401 CPC-VD, p. 619; JT 2003 III 35 c. 1c) ou d'une décision au fond (CTUT 20 janvier 2010/18). Ce recours, qui s'instruit conformément aux art. 489 ss CPC-VD (Code de procédure civile vaudoise du 14 décembre 1966, RSV 270.11), s'exerce par acte écrit dans les dix jours dès la communication de la décision attaquée (art. 109 al. 3 LVCC, Loi d'introduction dans le Canton de Vaud du Code civil suisse du 30 novembre 1910, RSV 211.01; art. 492 al. 1 et 2 CPC-VD). Le Code de procédure civile suisse du 19 décembre 2008 (ci-après : CPC, RS 272), entré en vigueur le 1 er janvier 2011, est sans portée sur les décisions prises en matière de protection de l’enfant et de relations personnelles, de sorte que la procédure de recours demeure soumise aux art. 489 ss CPC-VD jusqu'à l'entrée en vigueur de la loi fédérale du 19 décembre 2008 révisant le Code civil suisse (protection de l'adulte, droit des personnes et droit de la filiation) (art. 174 CDPJ, Code de droit privé judiciaire vaudois du 12 janvier 2010, RSV 211.02) et à l’art. 420 al. 2 CC (JT 2011 III 48 c. 1a/bb). Le recours est ouvert au pupille capable de discernement, ainsi qu'à tout intéressé (art. 420 al. 1 CC), soit notamment à chacun des parents dans les causes concernant les relations personnelles avec un enfant mineur (Hegnauer, Droit suisse de la filiation et de la famille, 4 e éd., Berne 1998, adaptation française par Meier, ci-après : Droit suisse de la filiation, n. 27.64, p. 205; RDT 1955, p. 101). b) La décision de la justice de paix instaurant une mesure de curatelle d'assistance éducative au sens de l'art. 308 al. 1 CC constitue un jugement au sens de l'art. 403 CPC-VD. Conformément à l'art. 405 CPC-VD, un recours peut être adressé au Tribunal cantonal, soit à la Chambre des tutelles (art. 76 al. 2 LOJV), contre une telle décision de l'autorité tutélaire dans les dix jours dès sa communication. Le recours s'exerce par acte écrit à l'office dont émane la décision ou au Tribunal cantonal et s'instruit selon les formes du recours non contentieux prévues aux art. 489 ss CPC-VD (art. 109 al. 3 LVCC; art. 405 et 492 CPC-VD). Le recours est ouvert à la partie dénonçante, aux dénoncés, au Ministère public ainsi qu'à tout intéressé, soit notamment à chacun des parents (art. 405 CPC-VD; CTUT, 5 mars 2009, n° 48). c) La Chambre des tutelles peut réformer la décision attaquée ou en prononcer la nullité (art. 498 al. 1 CPC-VD). Si la cause n'est pas suffisamment instruite, elle peut la renvoyer à l'autorité tutélaire ou procéder elle-même à l'instruction complémentaire (art. 498 al.</w:t>
      </w:r>
    </w:p>
    <w:p>
      <w:r>
        <w:rPr>
          <w:b/>
        </w:rPr>
        <w:t>E. 2</w:t>
      </w:r>
    </w:p>
    <w:p>
      <w:r>
        <w:t>a) Saisie d'un recours non contentieux, la Chambre des tutelles, qui n'est pas tenue par les moyens et les conclusions des parties, examine d'office si la décision entreprise n'est pas affectée de vices d'ordre formel.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 763). b) L'autorité tutélaire du domicile de l'enfant, soit la justice de paix dans le canton de Vaud (art. 3 al. 1 LVCC), est compétente pour prendre les mesures nécessaires concernant les relations personnelles (art. 275 al. 1 CC) et, plus généralement, pour prendre des mesures de protection de l'enfant (art. 315 al. 1 CC). En l'espèce, E.Z.________ étant domicilié à [...], chez sa mère, détentrice de l'autorité parentale et du droit de garde (art. 25 al. 1 CC), la Justice de paix du district de Nyon était compétente pour prendre la décision entreprise. c) A.Z.________ et F.________ ont été entendus à l'audience de la justice de paix du 16 janvier 2012 de sorte que leur droit d’être entendus a été respecté. Les enfants C.Z.________ et E.Z.________, nés respectivement les 21 avril 1994 et 18 mars 1999, n'ont pas été entendus par la justice de paix. Ils ont toutefois été entendus par le juge de paix le 8 mars 2011 et à plusieurs reprises par le SPJ, ce qui est suffisant au regard de la jurisprudence (ATF 133 III 553 c. 4, JT 2008 I 244; ATF 127 III 295). F.________ demande que ses enfants soient entendus une deuxième fois, affirmant qu'ils ont l'impression de ne pas avoir été compris. C.Z.________ est désormais majeur et n'est donc plus concerné par le litige qui, par définition, ne peut concerner que des enfants mineurs. Quant à E.Z.________, rien ne justifie qu'il soit entendu à nouveau. Au contraire, il résulte du rapport du SPJ du 28 novembre 2011 que F.________ implique ses enfants dans le conflit et leur transmet systématiquement une image négative de leur père. Une nouvelle audition serait manifestement improductive, voire de nature à placer E.Z.________ dans une situation insoutenable, et n'entre ainsi pas en considération. La décision entreprise est formellement correcte et il convient d'examiner si elle est justifiée sur le fond.</w:t>
      </w:r>
    </w:p>
    <w:p>
      <w:r>
        <w:rPr>
          <w:b/>
        </w:rPr>
        <w:t>E. 3</w:t>
      </w:r>
    </w:p>
    <w:p>
      <w:r>
        <w:t>a)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op. cit.,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précité c.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(ATF 131 III 209, JT 2005 I 201; ATF 118 II 21 c. 3c, JT 1995 I 548; TF 5A_448/2008 du 2 octobre 2008 c. 4.1; TF 5P.131/2006 du 25 août 2006, publié in FamPra.ch 2007, p. 167).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Cette mesure constitue néanmoins une "ultima ratio" et ne doit être ordonnée que si le danger pour le bien de l'enfant ne peut être écarté par d'autres mesures appropriées. Le préjudice causé à l'enfant peut être limité par l'établissement d'un droit de visite surveillé, qui s'exerce en présence d'un tiers. Une telle surveillance ne peut toutefois être instaurée que lorsqu'il existe des indices concrets de mise en danger du bien de l'enfant (Hegnauer, op. cit., n. 9.20, p. 116; TF 5P.131/2006 du 25 août 2006 précité). La jurisprudence a posé le principe que la réglementation du droit de visite ne saurait dépendre uniquement de la volonté de l'enfant; il faut déterminer, dans chaque cas particulier, pourquoi celui-ci adopte une attitude défensive à l'endroit du parent qui n'a pas la garde et si l'exercice du droit de visite risque réellement de porter préjudice à son intérêt (ATF 127 III 295, c. 4a; TF 5A_107/2007 du 16 novembre 2007 c. 3.2). On ne peut, pour autant, faire abstraction de cette volonté. Le Tribunal fédéral a jugé qu'il fallait prendre en considération les voeux exprimés par un enfant sur son attribution, au père ou à la mère, lorsqu'il s'agit d'une résolution ferme et qu'elle est prise par un enfant dont l'âge et le développement - en règle générale à partir de douze ans révolus (TF 5C.293/2005 du 6 avril 2006 c. 4.2, publié in FamPra.ch 3/2006, p. 760, pour l'attribution de l'autorité parentale) - permettent d'en tenir compte (ATF 126 III 219 c. 2b; ATF 124 III 90 c. 3c; ATF 122 III 401 c. 3b). Ce principe vaut pour la réglementation du droit de visite (TF 5A_107/2007 précité c. 3.2 et références citées; ATF 124 III 90 c. 3c). Certes, le Tribunal fédéral a constamment souligné que le rapport de l'enfant avec ses deux parents est essentiel et peut jouer un rôle décisif dans le processus de sa recherche. Cependant, dans le cas d’un enfant âgé de douze ans et demi à la date de l'arrêt cantonal et disposant dès lors de la capacité de discernement nécessaire pour donner son avis quant à la réglementation du droit de visite, ce droit ne saurait être fixé alors que l’enfant a manifesté une volonté très ferme à réitérées reprises pour le refuser. La fixation d’un droit de visite au mépris du refus de l’enfant contreviendrait sinon tant à la finalité du droit aux relations personnelles qu'aux droits de la personnalité de l'enfant (TF 5A_107/2007 précité c. 3.3; TF 5A_63/2011 du 1 er juin 2011, publié in FamPra.ch 2011, n. 72, p. 1022). b) En l’espèce, l'essentiel des difficultés découle du conflit parental, qui a pour conséquence des craintes de la mère. Il n'y a rien là qui justifierait qu'il soit renoncé au droit de visite du père, étant rappelé qu'un enfant a avant tout besoin de contact avec ses deux parents. Il n'existe aucun indice que le père serait inadéquat dans l'exercice de son droit de visite. La recourante soutient que son fils E.Z.________ ne veut pas d’un droit de visite qui lui serait imposé. Il convient toutefois de replacer cette affirmation dans son contexte. L’enfant reproche à son père la situation financière précaire dans laquelle se sont trouvés sa mère, son frère et lui en raison de problèmes d’argent. Or, cette problématique lui a pour l’essentiel été rapportée par la mère, qui implique ses enfants dans des préoccupations d’adultes et est en partie responsable de ces ennuis en raison de sa difficulté à gérer ses affaires financières. En effet, selon [...], du BRAPA, le père paie ponctuellement la pension depuis quatre ans et les avances ont été bloquées car la recourante n'a pas fait parvenir les documents attendus. Le SPJ a du reste relevé que la mère transmet systématiquement aux enfants une image négative du père et des informations erronées le concernant. Enfin, E.Z.________ a déclaré qu’il avait continué à voir son père en cachette car il lui manquait. Il résulte de ce qui précède que le refus de l’enfant doit être largement relativisé et que ses déclarations faites à ce sujet ne sauraient justifier le refus d’un droit de visite régulier. Tout porte à croire au contraire qu'E.Z.________ a plus que jamais besoin de contacts avec son père et que de tels contacts ne sauraient en tout cas nuire à ses intérêts.</w:t>
      </w:r>
    </w:p>
    <w:p>
      <w:r>
        <w:rPr>
          <w:b/>
        </w:rPr>
        <w:t>E. 4</w:t>
      </w:r>
    </w:p>
    <w:p>
      <w:r>
        <w:t>La recourante conteste également l'instauration d'une curatelle éducative à forme de l'art. 308 al. 1 CC. a) Conformément à l'art. 308 al. 1 CC, lorsque les circonstances l'exigent, l'autorité tutélaire nomme à l'enfant un curateur qui assiste les père et mère de ses conseils et de son appui dans le soin de l'enfant. Le curateur n'a pas seulement un droit de regard et d'information, il peut donner aux parents des recommandations et des directives sur l'éducation et agir directement avec eux sur l'enfant (TF 5C.109/2002 du 11 juin 2002; Hegnauer, op. cit., nn. 27.19 et 27.19a, pp. 188 et 189). L'art. 308 CC s'inscrit dans le cadre général des mesures protectrices de l'enfant. L'institution d'une telle curatelle présuppose d'abord, comme toute mesure de protection (art. 307 al. 1 CC), que l'enfant coure un danger et que son développement soit menacé (TF 5A_839/2008 du 2 mars 2009; ATF 108 II 372 c. 1, JT 1984 I 612). Il ne s'agit toutefois pas d'un danger au sens où l'enfant serait directement menacé de subir de mauvais traitements. Il y a danger lorsque l'on doit sérieusement craindre, d'après les circonstances, que le bien-être corporel, intellectuel et moral de l'enfant ne soit compromis; il n'est pas nécessaire que le mal soit déjà fait. Le danger qui justifie la désignation d'un curateur peut être lié à des causes aussi diverses que l'inexpérience, la maladie, l'absence ou l'indifférence des parents, des prédispositions ou une conduite nuisible de l'enfant, des parents ou de l'entourage (Meier/Stettler, Droit de la filiation, 4 e éd., 2009, n. 1138, p. 658; Hegnauer, op. cit., n. 27.14, p. 186). Les mesures de protection de l'enfant définies aux art. 307 à 311 CC sont notamment régies par les principes de proportionnalité et de subsidiarité, ce qui implique qu'elles doivent être proportionnées au degré du danger couru par l'enfant, en restreignant l'autorité parentale aussi peu que possible mais autant que nécessaire, et limitées à ce qui est nécessaire compte tenu des circonstances. L'Etat doit intervenir seulement si les parents ne remédient pas d'eux-mêmes à la situation et refusent l'assistance que leur offrent les services d'aide à la jeunesse (principe de subsidiarité; art. 307 al. 1 CC; TF 5C.109/2002 du 11 juin 2002 c. 2.1; ATF 114 II 213 c. 5). Il s'agit alors de compléter, et non d'évincer, les possibilités offertes par les parents eux-mêmes (principe de complémentarité). L'autorité ne doit prendre une mesure plus énergique que si une mesure plus douce s'est révélée infructueuse ou paraît d'emblée insuffisante (Hegnauer, op. cit., nn. 27.09 ss, pp. 185 et 186). En outre, l'intérêt de l'enfant est la justification fondamentale de toutes les mesures des art. 307 ss CC, et doit l'emporter sur les droits des parents ou des parents nourriciers (Hegnauer, op. cit., nn. 26.04 ss, pp. 172 ss). b) En l’espèce, il ressort du rapport du SPJ que les enfants sont impliqués dans des préoccupations d’adultes et que leur mère leur transmet systématiquement une image négative du père. En outre, la responsabilité qu'elle leur fait porter n'est pas adaptée à leur âge et nuit à leur développement (tristesse, difficultés scolaires). Dans ces conditions, la curatelle d'assistance éducative instaurée en faveur d'E.Z.________ doit être maintenue. Une mesure moins contraignante relevant de l'art. 307 CC ne suffirait pas. Les difficultés rencontrées par le SPJ dans l’exécution de sa mission en attestent.</w:t>
      </w:r>
    </w:p>
    <w:p>
      <w:r>
        <w:rPr>
          <w:b/>
        </w:rPr>
        <w:t>E. 5</w:t>
      </w:r>
    </w:p>
    <w:p>
      <w:r>
        <w:t>En conclusion, le recours de F.________ doit être rejeté et la décision entreprise confirmée.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Quand bien même il obtient gain de cause, l'intimé, qui n'a pas procédé par l'intermédiaire d'un mandataire professionnel, n'a pas droit à des dépens de deuxième instance. Par ces motifs, la Chambre des tutelles du Tribunal cantonal, statuant à huis clos, prononce : I. Le recours est rejeté. II. La décision est confirmée. III. L'arrêt est rendu sans frais. IV. L'arrêt motivé est exécutoire. Le président :              La greffière : Du 22 mai 2012 Le dispositif de l'arrêt qui précède est communiqué par écrit aux intéressés. La greffière : Du L'arrêt qui précède, dont la rédaction a été approuvée à huis clos, est notifié à : ‑ Mme F.________, ‑ M. A.Z.________, ‑ Service de protection de la jeunesse,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