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2012 / 404 vom 12. März 2013</w:t>
      </w:r>
    </w:p>
    <w:p>
      <w:r>
        <w:t>VD Tribunal cantonal, 2013-03-12, FR</w:t>
      </w:r>
    </w:p>
    <w:p>
      <w:r>
        <w:rPr>
          <w:b/>
        </w:rPr>
        <w:t xml:space="preserve">Quelle: </w:t>
      </w:r>
      <w:r>
        <w:t>https://mcp.opencaselaw.ch/entscheid/vd_findinfo_Arr_t___2012___404</w:t>
      </w:r>
    </w:p>
    <w:p>
      <w:r>
        <w:t>FR: VD_FINDINFO Arrêt / 2012 / 404 du 12 mars 2013</w:t>
      </w:r>
    </w:p>
    <w:p>
      <w:r>
        <w:t>IT: VD_FINDINFO Arrêt / 2012 / 404 del 12 marzo 2013</w:t>
      </w:r>
    </w:p>
    <w:p>
      <w:pPr>
        <w:pStyle w:val="Heading2"/>
      </w:pPr>
      <w:r>
        <w:t>Regeste</w:t>
      </w:r>
    </w:p>
    <w:p>
      <w:r>
        <w:t>AC, DÉLAI-CADRE, INDEMNITÉ DE CHÔMAGE, SUBSTITUTION DE MOTIFS, POSITION DOMINANTE | 27 LACI, 31 al. 3 let. c LACI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Au vu de ce qui précède, le recours se révèle mal fondé et doit donc être rejeté, ce qui entraîne la confirmation de la décision attaquée, par substitution de motifs. b) Il n'y a pas lieu de percevoir de frais judiciaires, la procédure étant gratuite (art. 61 let. a LPGA), ni d'allouer de dépens, dès lors que le recourant n'obtient pas gain de cause (art. 55 al. 1 LPA-VD ;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