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340 vom 9. Februar 2012</w:t>
      </w:r>
    </w:p>
    <w:p>
      <w:r>
        <w:t>VD Tribunal cantonal, 2012-02-09, FR</w:t>
      </w:r>
    </w:p>
    <w:p>
      <w:r>
        <w:rPr>
          <w:b/>
        </w:rPr>
        <w:t xml:space="preserve">Quelle: </w:t>
      </w:r>
      <w:r>
        <w:t>https://mcp.opencaselaw.ch/entscheid/vd_findinfo_Arr_t___2012___340</w:t>
      </w:r>
    </w:p>
    <w:p>
      <w:r>
        <w:t>FR: VD_FINDINFO Arrêt / 2012 / 340 du 9 février 2012</w:t>
      </w:r>
    </w:p>
    <w:p>
      <w:r>
        <w:t>IT: VD_FINDINFO Arrêt / 2012 / 340 del 9 febbraio 2012</w:t>
      </w:r>
    </w:p>
    <w:p>
      <w:pPr>
        <w:pStyle w:val="Heading2"/>
      </w:pPr>
      <w:r>
        <w:t>Regeste</w:t>
      </w:r>
    </w:p>
    <w:p>
      <w:r>
        <w:t>RENVOI DANS UN HÔPITAL OU UN HOSPICE, INTERDICTION, MALADIE MENTALE | 369 al. 1 CC, 392 ch. 1 CC, 393 ch. 2 CC, 379 CPC, 393 CPC, 174 al. 2 CDPJ</w:t>
      </w:r>
    </w:p>
    <w:p>
      <w:pPr>
        <w:pStyle w:val="Heading2"/>
      </w:pPr>
      <w:r>
        <w:t>Erwägungen</w:t>
      </w:r>
    </w:p>
    <w:p>
      <w:r>
        <w:rPr>
          <w:b/>
        </w:rPr>
        <w:t>E. 1</w:t>
      </w:r>
    </w:p>
    <w:p>
      <w:r>
        <w:t>L'appel est dirigé contre une décision de l'autorité tutélaire instituant une mesure de tutelle à forme de l'art. 369 CC (Code civil suisse du 10 décembre 1907, RS 210) en faveur de l'époux de l'appelante et ordonnant sa privation de liberté à des fins d'assistance pour une durée indéterminée. Seule la mesure tutélaire est contestée.</w:t>
      </w:r>
    </w:p>
    <w:p>
      <w:r>
        <w:rPr>
          <w:b/>
        </w:rPr>
        <w:t>E. 1.1</w:t>
      </w:r>
    </w:p>
    <w:p>
      <w:r>
        <w:t>Conformément à l'art. 393 CPC-VD (Code de procédure civile du 14 décembre 1966, RSV 270.11), qui reste applicable aux décisions rendues après le 1 er janvier 2011 (art. 174 CDPJ, Code de droit privé judiciaire vaudois du 12 janvier 2010, RSV 211.01), les jugements rendus par la justice de paix en matière d'interdiction peuvent faire l'objet d'un appel au Tribunal cantonal, soit à la Chambre des tutelles (art. 76 al. 2 LOJV, Loi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CPC-VD; Zurbuchen, La procédure d'interdiction, thèse, Lausanne 1991, pp. 169-170; CTUT 15 novembre 2011/218 et réf citées; CTUT 23 juin 2005/94).</w:t>
      </w:r>
    </w:p>
    <w:p>
      <w:r>
        <w:rPr>
          <w:b/>
        </w:rPr>
        <w:t>E. 1.2</w:t>
      </w:r>
    </w:p>
    <w:p>
      <w:r>
        <w:t>En l'espèce, le recours a été interjeté en temps utile par l'épouse de la personne interdite, qui a la qualité d'intéressée, ayant agi dans l'intérêt du pupille (art. 420 al. 1 CC par analogie; ATF 121 III 1, JT 1996 I 662). Exercé conformément aux règles de procédure applicables, le recours est par conséquent recevable à la forme.</w:t>
      </w:r>
    </w:p>
    <w:p>
      <w:r>
        <w:rPr>
          <w:b/>
        </w:rPr>
        <w:t>E. 2</w:t>
      </w:r>
    </w:p>
    <w:p>
      <w:r>
        <w:t>En matière non contentieuse, la Chambre des tutelles peut examiner d'office si les règles essentielles de la procédure d'interdiction, dont la violation pourrait entraîner l'annulation du jugement attaqué, ont été respectées (Poudret/ Haldy/Tappy, Procédure civile vaudoise, 3ème éd., Lausanne 2002, n. 3 ad art. 492 CPC, p. 763, par analogie). Dans le canton de Vaud, la procédure en matière d'interdiction est régie par les art. 379 ss CPC-VD, sous réserve des règles de procédure fédérales définies aux art. 373 à 375 CC.</w:t>
      </w:r>
    </w:p>
    <w:p>
      <w:r>
        <w:rPr>
          <w:b/>
        </w:rPr>
        <w:t>E. 2.1</w:t>
      </w:r>
    </w:p>
    <w:p>
      <w:r>
        <w:t>Selon l'art. 379 al. 1 CPC-VD, les demandes d'interdiction formées par les particuliers ou une autorité administrative sont adressées à la justice de paix du domicile de la personne à interdire. Cette règle correspond à la norme fédérale régissant le for tutélaire (art. 376 al. 1 CC). Aux termes de l'art. 380 CPC-VD,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Selon l'art. 382 CPC-VD, une fois l'enquête terminée, le juge de paix la soumet à la justice de paix qui peut ordonner un complément d'enquête (al. 1). La justice de paix entend le dénoncé, l'art. 380 al. 5 CPC-VD étant réservé (al. 2). Si la justice de paix estime la mesure justifiée, elle rend un prononcé d'interdiction et nomme le tuteur ou place l'interdit sous autorité parentale en conformité à l'art. 385 al. 3 CC (al. 3). Si le dénoncé consent à la mesure, il en fait mention au procès-verbal (al. 4). La décision de la justice de paix est motivée (al. 5).</w:t>
      </w:r>
    </w:p>
    <w:p>
      <w:r>
        <w:rPr>
          <w:b/>
        </w:rPr>
        <w:t>E. 2.2</w:t>
      </w:r>
    </w:p>
    <w:p>
      <w:r>
        <w:t>En l'espèce, au moment de l'ouverture de l'enquête en interdiction civile par le Juge de paix, B.F.________ était domicilié à Lausanne. La Justice de paix de ce district était donc compétente pour statuer sur l'opportunité de la mesure tutélaire ordonnée. Le Juge de paix a procédé à une enquête et ordonné une expertise médicale. Il a soumis le rapport d'expertise au Conseil de santé, qui, par l'intermédiaire du Médecin cantonal agissant par délégation, a déclaré ne pas avoir d'observation à formuler. La Municipalité de Lausanne a renoncé à émettre un préavis dans le cadre de l’enquête en cours, faute d’informations pertinentes au sujet du pupille. Au terme de l'enquête, le Juge de paix a déféré la cause à la Justice de paix qui a notamment entendu le dénoncé lors de sa séance du 19 octobre 2011 avant de rendre la décision querellée. Rendue en application des dispositions de procédure applicables, la décision attaquée est par conséquent formellement correcte et peut être examinée quant au fond.</w:t>
      </w:r>
    </w:p>
    <w:p>
      <w:r>
        <w:rPr>
          <w:b/>
        </w:rPr>
        <w:t>E. 3</w:t>
      </w:r>
    </w:p>
    <w:p>
      <w:r>
        <w:t>L’interdiction de B.F.________ a été prononcée en application de l'art. 369 CC.</w:t>
      </w:r>
    </w:p>
    <w:p>
      <w:r>
        <w:rPr>
          <w:b/>
        </w:rPr>
        <w:t>E. 3.1.1</w:t>
      </w:r>
    </w:p>
    <w:p>
      <w:r>
        <w:t>A teneur de cette disposition, sera pourvu d'un tuteur tout majeur qui, pour cause de maladie mentale ou de faiblesse d'esprit, est incapable de gérer ses affaires, ne peut se passer de soins et secours permanents ou menace la sécurité d'autrui. Selon la jurisprudence du Tribunal fédéral (ATF 85 II 457), l'art. 369 CC n'exige nullement que l'individu soit atteint d'une maladie mentale déterminée, ni que son intellect soit affecté de telle manière que son état général corresponde à ce que l'on appelle communément la faiblesse d'esprit. L'interdiction est une mesure de protection qui doit être prise aussitôt qu'un individu est dans un état mental anormal, quelle que soit la nature de l'affection, qui ne lui permet pas de gérer convenablement ses affaires ou qui implique une menace pour sa sécurité ou celle d'autrui (Deschenaux/Steinauer, Personnes physiques et tutelle, 4ème éd., 2001, n. 122a, p. 38 et l'arrêt cité). Pour fonder une interdiction sur l'art. 369 CC, il ne suffit donc pas que la personne concernée soit dans un état mental anormal; il faut encore que cet état (cause de l'interdiction) engendre un besoin spécial de protection (condition d'interdiction), à savoir, selon la disposition précitée, l'incapacité durable de s'occuper convenablement de ses affaires, le besoin de soins et secours permanents ou la menace pour la sécurité d'autrui (Deschenaux/Steinauer, op. cit., nn. 116 ss, pp. 36 ss). Les conditions du besoin spécial de protection susmentionnées sont alternatives (ATF 5C.262/2002 du 6 mars 2003, in FamPra.ch 2003, p. 737). L'incapacité à gérer ses affaires concerne avant tout les affaires de nature patrimoniale, qui sont quantitativement et/ou qualitativement importantes pour l'intéressé et dont le défaut de gestion porterait atteinte aux conditions d'existence de l'intéressé. Quant au besoin de soins et de secours permanents, il vise avant tout les affaires d'ordre personnel (TF 5C.262/2002 du</w:t>
      </w:r>
    </w:p>
    <w:p>
      <w:r>
        <w:rPr>
          <w:b/>
        </w:rPr>
        <w:t>E. 3.1.2</w:t>
      </w:r>
    </w:p>
    <w:p>
      <w:r>
        <w:t>Aux termes de l'art. 392 ch. 1 CC, l'autorité tutélaire institue une curatelle soit à la requête d'un intéressé, soit d'office, dans les cas prévus par la loi et, en outre, lorsqu'un majeur ne peut, pour cause de maladie, d'absence ou d'autres causes semblables, agir dans une affaire urgente ni désigner lui-même un représentant. Selon l'art. 393 ch. 2 CC, l’autorité tutélaire est en outre tenue d’instituer une curatelle, lorsque, notamment, un individu est incapable de gérer lui-même ses biens ou de choisir un mandataire, sans qu’il y ait lieu cependant de lui nommer un tuteur. De manière générale, une curatelle de gestion ne peut être instaurée que lorsque les biens d'une personne ne sont plus gérés, qu'il s'agisse de l'ensemble de son patrimoine ou d'une partie seulement de celui-ci. Pour que la désignation d'un curateur se justifie au sens de l'art. 393 ch. 2 CC, il faut en particulier que l'incapacité de la personne concernée, qui peut résulter de l'une des causes mentionnées aux art. 369 à 372 ou 392 ch. 1 CC, soit telle que l'ayant droit ne peut pas désigner et/ou surveiller lui-même un représentant et qu'il ne se justifie pas de prendre une mesure d'assistance plus importante (Deschenaux/Steinauer, op. cit., nn. 1106 ss, pp. 415 ss). Il est aussi possible d'ordonner simultanément une curatelle de représentation et une curatelle de gestion, notamment en se fondant sur les art. 392 ch. 1 et 393 ch. 2 CC; on peut alors parler de curatelle combinée (Deschenaux/ Steinauer, op. cit., n. 1092, pp. 409 et 410). Dans de nombreux cas, la curatelle combinée répond aux exigences de représentation, de protection et d'assistance de la personne atteinte mentalement ou faible d'esprit et peut constituer une alternative intéressante à la mise sous tutelle, en particulier lorsque le pupille est en mesure de bénéficier d'une assistance personnalisée, fournie par la famille ou un organisme d'aide sociale. Dans de tels cas, instaurer une curatelle combinée en lieu et place d'une tutelle a l'avantage de respecter les principes de proportionnalité et de subsidiarité qui prévalent en la matière et, partant, de ne limiter la sphère de liberté du pupille que dans la mesure nécessaire (Langenegger, Basler Kommentar, nn. 33 à 35 ad art. 369 CC). En particulier, la curatelle combinée est de plus en plus souvent utilisée pour fournir une assistance tutélaire aux personnes âgées ou placées (Deschenaux/Steinauer, op. cit., n. 871a, p. 342 et références citées; Langenegger, op. cit., n. 34 ad art. 369 CC). Dans le cadre d'une telle curatelle, la mission du curateur est générale et permet d'apporter à la personne l'aide personnelle ou administrative dont elle a besoin. Une curatelle combinée est nécessaire même lorsque le pupille a accordé une procuration générale, s'il n'est pas en tout temps à même de contrôler et de surveiller, du moins en principe, ses représentants, ainsi que de les remplacer au besoin (ATF 134 III 385).</w:t>
      </w:r>
    </w:p>
    <w:p>
      <w:r>
        <w:rPr>
          <w:b/>
        </w:rPr>
        <w:t>E. 3.2</w:t>
      </w:r>
    </w:p>
    <w:p>
      <w:r>
        <w:t>Il résulte de l'expertise établie le 5 août 2011 que B.F.________ souffre d’une détérioration cognitive majeure et de troubles du comportement sévères liés à un trouble organique de la personnalité et du comportement dû à une maladie, une lésion et un dysfonctionnement cérébral. Compte tenu de ses troubles physiques et psychiques, l’intéressé à besoin de soins permanents, d’aide pour toutes les activités de la vie quotidienne et d’un encadrement sécurisé compte tenu de sa désorientation dans le temps et l’espace. De l'avis des experts, son état de santé nécessite un placement en EMS. L’appelante explique qu’elle gère les affaires administratives de son époux, que tout a été fait pour que l’AVS et les prestations complémentaires du pupille soient directement versées à Z.________, qu’elle assume le paiement des assurances maladies et qu’ainsi la situation est parfaitement réglée. En l'espèce, B.F.________ a fait l’objet d’une privation de liberté à des fins d'assistance d’une durée indéterminée à l'EMS Z.________. Cette décision n’est contestée par aucune des parties, l’appelante admettant d’ailleurs ne plus être en mesure d’apporter les soins nécessaires à son mari à domicile. Selon les experts, le pupille a besoin de soins permanents, compte tenu de ses troubles physiques et psychiques. Il a besoin d’aide pour toutes les activités quotidiennes et d'un encadrement sécurisé compte tenu de sa détérioration dans le temps et l’espace. Ces soins ne peuvent être administrés en ambulatoire, dès lors qu’ils sont trop importants pour une prise en charge à domicile. L’établissement approprié est un EMS proposant un encadrement 24 h sur 24 et une aide aux activités de la vie quotidienne. Au regard de l’avis des experts et compte tenu de l’âge du pupille, son placement au sein de l'EMS Z.________ doit être considéré comme une mesure durable. En sus du placement, qui apporte au dénoncé l'encadrement médical et personnel dont il a besoin, le pupille est aidé par son épouse, qui s’occupe de la gestion financière des comptes du couple. Compte tenu de ces éléments, l'interdiction civile du dénoncé paraît donc excessive et disproportionnée. Une curatelle combinée, en revanche, apparaît suffisante et adéquate pour assurer à l’intéressé l'aide personnelle et administrative dont il a besoin. L’appelante estime pouvoir gérer elle-même les affaires de son époux.  Dans la mesure où la Justice de paix devra instaurer une curatelle combinée en faveur du pupille et lui désigner un curateur, elle pourra, le cas échéant, examiner la capacité de l'appelante à gérer les affaires du pupille, notamment au regard du droit de préférence de l'art. 380 CC. 4. En conclusion, l'appel doit être admis, le jugement annulé et la cause renvoyée à la Justice de paix du district de Lausanne pour instaurer en faveur de B.F.________ une curatelle combinée et désigner un curateur.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Par ces motifs, la Chambre des tutelles du Tribunal cantonal, statuant à huis clos, I. L'appel est admis. II. Le jugement est annulé et la cause est renvoyée à la Justice de paix du district de Lausanne pour instaurer en faveur de B.F.________ une curatelle combinée et désigner un curateur. III. L'arrêt est rendu sans frais. IV. L'arrêt motivé est exécutoire. Le président :              La greffière : Du</w:t>
      </w:r>
    </w:p>
    <w:p>
      <w:r>
        <w:rPr>
          <w:b/>
        </w:rPr>
        <w:t>E. 6</w:t>
      </w:r>
    </w:p>
    <w:p>
      <w:r>
        <w:t>mars 2003, in FamPra.ch 2003 p. 737 précité). D'une manière générale, l'instauration d'une tutelle doit en outre être conforme aux principes de proportionnalité et de subsidiarité. Les mesures tutélaires constituant une intervention dans la sphère de liberté de l'individu, le choix de la mesure la plus adéquate est en effet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(Deschenaux/ Steinauer, op. cit., nn. 860 ss, pp. 339 ss; ATF 5A_568/2007 du 4 février 2008). Selon le principe de proportionnalité, la mesure tutélaire doit avoir l'efficacité recherchée, tout en sauvegardant au maximum la sphère de liberté de l'intéressé (Deschenaux/Steinauer, op. cit., n. 862; Schnyder/Murer, op. cit., n. 162 ad art. 369 CC; Langenegger, Commentaire bâlois, 3e éd., nos 29 ss ad art. 369 CC; ATF 5A_550/2008 du 6 octobre 2008). Le but d'une mesure tutélaire est de protéger le faible contre lui-même et l'exploitation par des tiers. Une mesure est disproportionnée si elle est trop radicale ou trop faible pour atteindre ce but (ATF 5C.74/2003 du 3 juillet 2003 c. 4.2, in FamPra.ch 2003, p. 975; Affolter, Commentaire bâlois, 3e éd., n. 60 ad art. 406 CC, p. 2040 ; Stettler, Droit Civil I, Représentation et protection de l'adulte, 4e éd., n. 80, pp 42 et 43).</w:t>
      </w:r>
    </w:p>
    <w:p>
      <w:r>
        <w:rPr>
          <w:b/>
        </w:rPr>
        <w:t>E. 9</w:t>
      </w:r>
    </w:p>
    <w:p>
      <w:r>
        <w:t>février 2012 Le dispositif de l'arrêt qui précède est communiqué par écrit aux intéressés. La  greffière  : Du L'arrêt qui précède, dont la rédaction a été approuvée à huis clos, est notifié à : ‑ Mme A.F.________, ‑ M. B.________,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