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267 vom 1. Juni 2012</w:t>
      </w:r>
    </w:p>
    <w:p>
      <w:r>
        <w:t>VD Tribunal cantonal, 2012-06-01, FR</w:t>
      </w:r>
    </w:p>
    <w:p>
      <w:r>
        <w:rPr>
          <w:b/>
        </w:rPr>
        <w:t xml:space="preserve">Quelle: </w:t>
      </w:r>
      <w:r>
        <w:t>https://mcp.opencaselaw.ch/entscheid/vd_findinfo_Arr_t___2012___267</w:t>
      </w:r>
    </w:p>
    <w:p>
      <w:r>
        <w:t>FR: VD_FINDINFO Arrêt / 2012 / 267 du 1 juin 2012</w:t>
      </w:r>
    </w:p>
    <w:p>
      <w:r>
        <w:t>IT: VD_FINDINFO Arrêt / 2012 / 267 del 1 giugno 2012</w:t>
      </w:r>
    </w:p>
    <w:p>
      <w:pPr>
        <w:pStyle w:val="Heading2"/>
      </w:pPr>
      <w:r>
        <w:t>Regeste</w:t>
      </w:r>
    </w:p>
    <w:p>
      <w:r>
        <w:t>RECONVERSION PROFESSIONNELLE, RENTE D'INVALIDITÉ, AFFECTION PSYCHIQUE | 4 al. 1 LAI, 8 al. 1 LPGA</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Formé en temps utile et dans le respect des réquisits de forme prévus par la loi (art. 61 let. b LPGA), le présent recours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La cour des assurances sociales du Tribunal cantonal est compétente pour statuer (art. 93 al. 1 let. a LPA-VD).</w:t>
      </w:r>
    </w:p>
    <w:p>
      <w:r>
        <w:rPr>
          <w:b/>
        </w:rPr>
        <w:t>E. 2</w:t>
      </w:r>
    </w:p>
    <w:p>
      <w:r>
        <w:t>En l'espèce, le droit à une rente d'invalidité et à des mesures de réadaptation est litigieux, ces prestations étant refusées au motif de l'absence d'atteinte à la santé invalidante.</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trois quarts de rente et un taux de 70% à une rente entière (art. 28 al. 2 LAI).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 juin 2007 consid. 3.2; TFA I 370/98 du 26 août 1999, publié in VSI 2002 p. 111).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TFA I 554/01 du 19 avril 2002 consid. 2a). En outre, au vu de la divergence consacrée par la jurisprudence entre un mandat de soins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(ATF 124 I 170 consid. 4; TF 9C_514/2009 du 3 novembre 2009 consid. 4; voir aussi TF 9C_593/2010 du 28 mars 2011 consid. 5.2.1).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d)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w:t>
      </w:r>
    </w:p>
    <w:p>
      <w:r>
        <w:rPr>
          <w:b/>
        </w:rPr>
        <w:t>E. 4</w:t>
      </w:r>
    </w:p>
    <w:p>
      <w:r>
        <w:t>a) Dans le cas présent, sur le plan somatique, l'assurée souffre notamment de douleurs dans les membres supérieurs, avec des troubles sensitivo-moteurs, attestés en particulier par ses médecins traitants, les Drs T.________ et V.________. Dans son rapport du 27 octobre 2009, le Dr C.________, neurologue, n'a retenu, sur le plan strictement neurologique, aucune affection ayant une répercussion sur la capacité de travail. Ce spécialiste a procédé à un examen clinique des membres et à un bilan électrophysiologique par ENMG (électroneuromyographie), qui ne mettaient en évidence aucune affection neurologique significative, les déficits moteurs constatés n'ayant pas le caractère d'un déficit somatique. Il a retenu l'absence d’affection documentable sur le plan neurologique, de sorte que les troubles sensitivo-moteurs étaient selon lui uniquement subjectifs. On ne voit pas de raisons de s'écarter de l'avis de ce spécialiste, dont les explications sont motivées et convaincantes, ses constatations rejoignant au demeurant celles du Dr K.________. On s'écartera donc de l'avis contraire des Drs T.________ et V.________, qui n'évoquent pas d'autres constatations objectives et dont l'opinion, en tant que médecins traitants, doit être appréciée avec les réserves d'usage s'agissant de la capacité de travail résiduelle de leur patiente. La recourante expose que des problèmes de mutation génétique – en lien avec l'hypovitaminose B12 chronique – et des troubles polyarthrosiques n'ont pas été suffisamment investigués. A ce sujet, dans leur avis médical du 21 juin 2011, dont il n'y a pas lieu de s'écarter dès lors qu'il s'avère objectif et systématique, les Drs L.________ et G.________, du SMR, ont relevé que, s'agissant de l'hypovitaminose B12 chronique, le Dr C.________ avait démontré l'absence de limitations fonctionnelles, et que l'assurée ne présentait pas d'atteinte arthrosique au vu des rapports médicaux versés au dossier. En outre, suite à l'audience publique du 27 septembre 2011, tenue à sa demande, l'assurée n'a pas produit de nouveau document médical alors même qu'elle avait requis et obtenu un délai pour consulter un médecin, ayant du reste relevé que les derniers examens entrepris n'avaient pas permis de révéler de nouveaux éléments. Il y a donc lieu de retenir, sans que des mesures d'instruction complémentaires se justifient, que la recourante ne présente pas d'incapacité de travail sur le plan somatique. b) Sur le plan psychique, compte tenu des avis médicaux divergents versés au dossier, l'assurée a fait l'objet d'une expertise judiciaire, confiée au Dr E.________. Dans son rapport du 15 avril 2011, ce spécialiste en psychiatrie a posé les diagnostics de trouble de la personnalité de type émotionnellement labile, type borderline, de trouble douloureux somatoforme persistant et de trouble dissociatif mixte. Il a retenu – en l'occurrence à juste titre, comme exposé ci-dessus – que les plaintes de l'assurée sur le plan physique n'avaient pas de substrat organique. Lors de son examen clinique, il n'a pas constaté de troubles de la lignée psychotique, mais des difficultés majeures d'intégration dans le monde du travail en raison d’un trouble de la personnalité, cela chez une assurée dont le cas était décrit comme complexe et difficile à cerner, même si celle-ci se disait en bonne santé psychologique. Si les troubles psychiques n'étaient pas qualifiés de majeurs, le pronostic n’apparaissait pas favorable, en particulier compte tenu du risque d’un épuisement progressif des ressources. Le Dr E.________ a estimé ainsi que la capacité de travail était limitée à 70% dans une activité adaptée aux limitations fonctionnelles, à savoir les facteurs de stress au travail, en particulier la contrainte des délais ainsi que les relations interpersonnelles. A cet égard, si le travail tenant au domaine de la formation initiale dans l’édition n’était plus envisageable, l’activité actuelle de contrôle exercée chez [...] était qualifiée d’adaptée. Se fondant sur les consultations des Drs O.________ et H.________, l’expert a retenu une incapacité de travail totale dès le 12 février 2007 jusqu’à fin 2008, compte tenu d’une décompensation sur les modes anxieux et dépressif. Une amélioration progressive médicalement constatée l'a conduit à fixer la capacité de travail à 50% depuis le 1 er janvier 2009, puis à 70% dès le 1 er juillet 2009. Enfin, des mesures de réadaptation étaient envisageables, avec le concours de l’assurée, et le traitement actuel paraissait adéquat, un soutien psychiatrique devant être poursuivi. Cette expertise est fine dans son approche de la problématique de l'assurée et claire quant à ses conclusions. En particulier, l'expert se base sur les constatations des Drs O.________ et H.________ ainsi que sur ses propres constatations cliniques, en l'occurrence énoncées de façon méticuleuse. L'évaluation de la capacité de travail de l'assurée est opérée de manière méthodique et les avis médicaux sont discutés. Ainsi, contrairement à ce que retiennent les médecins du SMR dans leur avis médical du 29 avril 2011, l'expert a expliqué pourquoi il s'écartait des conclusions de son confrère psychiatre, le Dr B.________. Enfin, les avis contraires des Drs L.________ et G.________ du SMR, qui ne sont pas psychiatres, s'avèrent superficiels et dès lors moins convaincants. On ne voit donc pas de raisons de s'écarter des conclusions de l'expertise judiciaire, pleinement probante. c) Avec l'expert judiciaire, on retiendra donc que la recourante présente une atteinte à la santé sur le plan psychique ayant des répercussions sur la capacité de travail à compter du 12 février 2007. La décision attaquée reposant sur le constat d'absence d'atteinte à la santé invalidante, elle s'avère mal fondée et doit être annulée en conséquence. Les éléments utiles à l'appréciation et au calcul du degré d'invalidité n'ayant pas été posés ni discutés par l'intimé, le dossier lui sera renvoyé, afin qu'il complète l'instruction et rende une nouvelle décision, qui soit conforme aux conclusions de l'expertise judiciaire quant à l'évaluation de la capacité de travail de l'assurée dans le temps.</w:t>
      </w:r>
    </w:p>
    <w:p>
      <w:r>
        <w:rPr>
          <w:b/>
        </w:rPr>
        <w:t>E. 5</w:t>
      </w:r>
    </w:p>
    <w:p>
      <w:r>
        <w:t>Partant, le recours est admis, la décision attaquée annulée et la cause renvoyée à l’OAI pour nouvelle décision. En dérogation à l’art. 61 let. a LPGA, la procédure de recours en matière de contestations portant sur l’octroi ou le refus de prestations de l’AI devant le tribunal cantonal des assurances est soumise à des frais de justice (art. 69 al. 1bis LAI). Ceux-ci sont supportés par l'intimé, qui succombe (art. 69 al. 1bis LAI). La recourante, qui obtient gain de cause avec l’assistance d’un avocat, a droit à des dépens (art. 61 let. g LPGA), qu'il y a lieu de fixer à 2'500 fr. à la charge de l'OAI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