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26 vom 9. Februar 2012</w:t>
      </w:r>
    </w:p>
    <w:p>
      <w:r>
        <w:t>VD Tribunal cantonal, 2012-02-09, FR</w:t>
      </w:r>
    </w:p>
    <w:p>
      <w:r>
        <w:rPr>
          <w:b/>
        </w:rPr>
        <w:t xml:space="preserve">Quelle: </w:t>
      </w:r>
      <w:r>
        <w:t>https://mcp.opencaselaw.ch/entscheid/vd_findinfo_Arr_t___2012___26</w:t>
      </w:r>
    </w:p>
    <w:p>
      <w:r>
        <w:t>FR: VD_FINDINFO Arrêt / 2012 / 26 du 9 février 2012</w:t>
      </w:r>
    </w:p>
    <w:p>
      <w:r>
        <w:t>IT: VD_FINDINFO Arrêt / 2012 / 26 del 9 febbraio 2012</w:t>
      </w:r>
    </w:p>
    <w:p>
      <w:pPr>
        <w:pStyle w:val="Heading2"/>
      </w:pPr>
      <w:r>
        <w:t>Regeste</w:t>
      </w:r>
    </w:p>
    <w:p>
      <w:r>
        <w:t>RELATIONS PERSONNELLES, CURATELLE ÉDUCATIVE | 273 CC, 308 al. 1 CC, 308 al. 2 CC, 420 al. 2 CC, 489 CPC, 174 al. 2 CDPJ</w:t>
      </w:r>
    </w:p>
    <w:p>
      <w:pPr>
        <w:pStyle w:val="Heading2"/>
      </w:pPr>
      <w:r>
        <w:t>Erwägungen</w:t>
      </w:r>
    </w:p>
    <w:p>
      <w:r>
        <w:rPr>
          <w:b/>
        </w:rPr>
        <w:t>E. 1</w:t>
      </w:r>
    </w:p>
    <w:p>
      <w:r>
        <w:t>Le recourant a déposé successivement deux recours contre deux décisions rendues par la justice de paix les 1 er septembre et 5 octobre 2011. Sont contestés les chiffres III des décisions précitées qui fixent les modalités de l'exercice du droit de visite d'une mère sur sa fille mineure dont la garde appartient au père (art. 273 ss CC, Code civil suisse du 10 décembre 1907, RS 210). Il convient de souligner que le chiffre III de la seconde décision annule et remplace le chiffre III de la pre­mière, la justice de paix ayant constaté, sur interpellation du conseil du recourant et du SPJ, que sa décision du 1 er septembre 2011 ne pouvait se "traduire concrètement de façon satisfaisante". Dans ces circonstances, la cour de céans considère que les griefs formulés par le recourant dans ses deux recours peuvent être examinés dans un seul et même arrêt. a)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CC est ouvert à la Chambre des tutelles (Schwenzer, Basler Kommentar, 3 e éd., 2006, n. 6 ad art. 275 CC, p. 1477; art. 76 LOJV, Loi d'organisation judiciaire du 12 décembre 1979, RSV 173.01), qu'il s'agisse de mesures d'urgence (Poudret/Haldy/Tappy, Procédure civile vaudoise,</w:t>
      </w:r>
    </w:p>
    <w:p>
      <w:r>
        <w:rPr>
          <w:b/>
        </w:rPr>
        <w:t>E. 3</w:t>
      </w:r>
    </w:p>
    <w:p>
      <w:r>
        <w:t>Le recourant reproche aux premiers juges d'avoir imposé une garde partagée malgré l'importance du conflit parental et d'avoir totalement occulté la fragilité psychologique de la mère de l'enfant qui a toujours indiqué qu'elle n'était pas capable de garder sa fille sans lui. Il fait valoir que la fragilité de W.________ n'a cessé de s'accroître au fil des mois qui ont suivi la naissance de leur fille, qu'elle a fait une tentative de suicide qui avait nécessité son hospitalisation à la Fondation de Nant, qu'elle n'est pas en mesure de veiller à la sécurité de sa fille, qu'il est indispensable de limiter l'exercice du droit de visite aux moments où W.________ peut s'occuper personnellement de sa fille, qu'il s'est majoritairement occupé seul de sa fille depuis la séparation, qu'il a bénéficié de l'aide de sa mère, très proche de sa petite-fille et qu'il a aménagé un bureau à son domicile et engagé du personnel supplémentaire dans son entreprise afin d'être disponible pour son enfant. L'intimée conteste les allégations du recourant relatives à sa fragilité psychologique et à son comportement impulsif. Elle allègue qu'elle est toujours suivie dans le cadre d'un coaching personnel et par son psychologue, qu'elle a réussi à surmonter ses difficultés, que les relations avec le père sont compliquées, qu'elle a augmenté son taux d'activité à 80%, mais qu'elle s'est organisée pour ne travailler que le matin durant les semaines où sa fille lui est confiée, qu'elle a mis en place un carnet dans lequel les mamans de jour de sa fille notent le déroulement de la journée de sa fille et que sa fille est au cœur de ses préoccupations. Dans ses déterminations du 1 er décembre 2011, le SPJ a conclu au rejet du recours et au maintien de la décision rendu le 5 octobre 2011 par la justice de paix, observant en substance que W.________ s'était entourée d'un important réseau de professionnels, qu'elle se montrait collaborante et preneuse d'aide et de conseils, qu'elle avait eu quelques difficultés d'organisation lors de la mise en place de son droit de visite élargi en raison de l'augmentation de son taux d'activité professionnel à 80%, qu'elle avait toutefois su prendre toutes les dispositions néces­saires, qu'elle avait trouvé des solutions de garde satisfaisantes, qu'elle avait le sou­tien d'une maman de jour et d'une amie voisine, que le droit de visite se déroulait bien et conformément à la décision de la justice de paix du 5 octobre 2011 et que, dans le cadre de son mandat, le SPJ s'assurerait de la durabilité de l'organisation de la garde d'B.L.________ mise en place. Le SPJ a encore ajouté que la situation conflic­tuelle qui perdurait entre les deux parents était préoccupante, que l'absence de con­tacts entre A.L.________ et W.________ empêchait toute transmission d'in­for­mations concernant leur fille, que le passage de l'enfant se déroulait pour l'instant par l'intermédiaire de la maman de jour ou de l'amie de la mère, dans un lieu public ou dans le cabinet du pédiatre de l'enfant, ce qui n'était pas approprié, que les tensions des parents étaient néfastes pour l'enfant et risquaient de mettre en danger son développement, et que rien ne s'opposait à un élargissement du droit de visite de la mère.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précité).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Il importe en outre que cette menace ne puisse être écartée par d'autres mesures appropriées (TF 5A_448/2008 du 2 octobre 2008; ATF 131 III 209, JT 2005 I 201; ATF 118 II 21 c. 3c, JT 1995 I 548).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La notion de bien de l'enfant a été élevée en droit suisse au niveau d'un droit constitutionnel. Le principe de la priorité du bien de l'enfant doit être pris dans un sens global et recouvre entre autres les possibilités de développement au niveau moral, psychique, physique et social en fonction de l'âge de l'enfant; il faut donc re­cher­cher la meilleure solution possible pour l'enfant compte tenu de toutes les circonstances du cas d'espèce (ATF 129 III 250 c. 3.4.2, JT 2003 I 187 et juris­prudence citée). Lors de la fixation du droit de visite, il ne s'agit pas de trouver un juste équilibre entre les intérêts des deux parents, mais de régler les relations entre parent et enfant dans l'intérêt de ce dernier (ATF 122 II 404, JT 1998 I 46).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4 e éd., Bâle 2009, n o 714). Le danger pour l'enfant peut découler de la nature des contacts établis entre celui-ci et le titulaire du droit, notamment en cas de soupçons d'abus sexuels (Meier/Stettler, op. cit., n o 715 n. 1568 et jurisprudence citée). L'au­torité doit alors déterminer la mesure dans laquelle les craintes sont fondées, en tenant compte notamment du fait que le parent gardien peut formuler de tels soup­çons, consciemment ou inconsciemment, par vengeance ou pour nuire à l'autre parent, ou encore pour perturber la relation que celui-ci cherche à établir avec l'enfant. Une suspension de l'exercice du droit, ou l'organisation de visites surveillées ou se déroulant en milieu protégé, seront parfois incontournables aussi longtemps que les faits n'auront pas été éclaircis, afin de ne pas exposer l'enfant à des risques de sévices susceptibles de perturber gravement son développement (Meier/Stettler, op. cit., n o 718). Il y a ainsi une gradation dans les mesures de protection de l'enfant – retrait ou refus des relations personnelles, droit de visite surveillé, droit de visite au Point Rencontre – et le principe de proportionnalité n'est respecté que si des mesures non contraignantes ne suffisent pas pour garantir la protection de l'enfant (TF 1C_219/2007 du 19 octobre 2007 c. 2, publié in FamPra.ch 2008 p. 172).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CREC II 23 mars 2009/50). b) En l'espèce, la justice de paix a, par décision du 29 octobre 2010, attri­bué à A.L.________ et à W.________ l'autorité parentale conjointe sur leur fille B.L.________ et ratifié les clauses de la convention et de son avenant signés le 13 septembre 2010 par les deux parents. Depuis sa séparation d'avec l'intimée début février 2011, le recourant est seul titulaire du droit de garde sur sa fille en application de la convention du 13 septembre 2010. Cette convention accordait un libre droit de visite à la mère ou, à défaut d'entente, un droit de visite usuel. Le recourant est intervenu à plusieurs reprises auprès de l'autorité tutélaire pour qu'elle fixe les modalités d'exercice du droit de visite de la mère. Par ordonnances de mesures provisionnelles des 9 mars et 27 juillet 2011, le juge de paix a progressivement étendu le droit de visite de l'intimée. Par décision du 1 er septembre 2011, la justice de paix a institué une mesure de curatelle d'assistance éducative et de surveillance des relations personnelles et désigné le SPJ en qualité de curateur, tout en fixant à nouveau le droit de visite de la mère sur sa fille. Par décision du 5 octobre 2011, la justice de paix a modifié une nouvelle fois le droit de visite de l'intimée sur sa fille et dit qu'elle pourra désormais voir B.L.________ du vendredi à 9 heures au jeudi à 18 heures, deux fois par mois, afin que l'enfant puisse passer le plus de temps possible auprès de sa mère. Le litige porte sur l'étendue du droit de visite de la mère qui correspond, dans les faits, à une garde partagée. Il résulte de l'examen des pièces figurant au dossier que les conditions d'accueil sont correctes chez les deux parents, que les père et mère se sont engagés auprès de leur fille, qu'ils ont tous deux montré des marques significatives d'attache­ment à leur fille, que l'intimée a su prendre les dispositions nécessaires pour s'occu­per de sa fille à satisfaction lors de l'augmentation de son taux d'activité profession­nelle à 80%, qu'elle a le soutien d'une maman de jour et d'une amie voisine et que le droit de visite se déroule bien. Tous les professionnels intervenants s'accordent pour dire qu'il est souhaitable que l'enfant voie sa mère le plus souvent possible, qu'il est primordial, pour le bon développement d'B.L.________, qu'il y ait une continuité dans ses relations avec sa mère et que l'enfant ne devrait pas, vu son jeune âge, être séparé de l'un ou l'autre de ses parents trop longtemps. Les craintes du recourant quant à la fragilité psychologique de l'intimée et quant à son comportement impulsif ne suffisent pas à remettre en cause les conclusions des professionnels de la protection des mineurs qui ont constaté que l'intimée avait entamé plusieurs démarches utiles et fructueuses, qu'elle s'était entourée d'un important réseau de professionnels avec lesquels sa collabo­ration était active et favorable à l'enfant et que rien ne s'opposait à un élargissement du droit de visite de la mère. Les principales difficultés découlent de la situation extrêmement conflic­tuelle des parents de l'enfant qui n'arrivent ni à communiquer ni à s'entendre. L'absence de contact entre les deux parents empêche toute transmission d'informa­tions concernant leur fille et rend le passage de l'enfant de l'un à l'autre très difficile. Cette situation conflictuelle, néfaste pour l'enfant, préoccupe grandement les profes­sion­nels car elle risque de mettre en danger le développement de l'enfant. Le passage de l'enfant dans le cabinet du pédiatre ou dans un lieu public par l'intermé­diaire de la maman de jour ou d'une amie est inapproprié et ne peut être que temporaire. Dans ce contexte, les parents doivent comprendre qu'il leur appartient, dans l'intérêt d'B.L.________, de rétablir le dialogue entre eux afin de permettre le passage de l'un à l'autre dans de bonnes conditions. Il incombe au SPJ, dans le cadre de son mandat, de s'assurer que la situation ne se péjore pas, que le passage de l'enfant se fasse dans de meilleures conditions et de faire toute suggestion utile aux parents quant à un tiers pouvant, le cas échéant, jouer le rôle d'intermédiaire lors du passage de l'enfant. Si cette situation conflictuelle devait perdurer, la justice de paix n'aurait pas d'autre choix que d'imposer le passage de l'enfant au Point Rencontre ou d'instituer, le cas échéant, d'autres mesures de protection plus incisives en faveur de l'enfant. Dans ces conditions, la cour considère que l'élargissement du droit de visite de l'intimée à une semaine sur deux du vendredi à 9 heures au jeudi à 18 heures tel que fixé par la justice de paix est adéquat, proportionné et conforme aux intérêts de l'enfant. Les décisions querellées se justifient d'autant plus qu'une mesure de protection à forme de l'art. 308 al. 1 et 2 CC, mesure au demeurant non contes­tée par les parents, a été instituée en faveur de l'enfant et que, en sa qualité de curateur, le SPJ a pour mission de s'assurer du bon déroulement  du droit de visite de la mère.</w:t>
      </w:r>
    </w:p>
    <w:p>
      <w:r>
        <w:rPr>
          <w:b/>
        </w:rPr>
        <w:t>E. 4</w:t>
      </w:r>
    </w:p>
    <w:p>
      <w:r>
        <w:t>En définitive, les recours interjetés par A.L.________, mal fondés, doivent être rejetés et les décisions entreprises confirmées.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Obtenant gain de cause, l'intimée, qui a procédé par l'intermédiaire d'un mandataire professionnel, a droit à des dépens de deuxième instance qu'il convient d'arrêter à 1'500 fr. et de mettre à la charge du recourant (art. 91 et 92 CPC-VD, applicables par renvoi de l'article 488 let. f CPC-VD). L'intimée a été mise au bénéfice de l'assistance judiciaire par décision du 8 novembre 2011. Il résulte du relevé des opérations produit le 25 janvier 2012 que son conseil et l'avocate-stagiaire de l'étude ont respectivement consacré 3 heures 40 et 4 heures 33 à son recours, temps qui apparaît raisonnable et admissible au regard des difficultés de la cause, telles qu'elles se présentaient en fait et en droit. Une indemnité correspondant à 3 heures 40 de travail d'avocat au tarif horaire de 180 fr. (art. 2 al. 1 let. a RAJ, Règlement sur l'assis­tance judiciaire en matière civile, RSV 211.02.3), ainsi qu'une indemnité correspondant à 4 heures 30 de travail d'avocat-stagiaire au tarif horaire de 110 fr. (art. 2 al. 1 let. b RAJ), doivent être allouées. On obtient ainsi une indemnité totale de 1'153 fr. 80, à laquelle il convient d'ajouter les débours qui peuvent être arrêtés à 100 fr., aucune liste détaillée n'ayant été produite (art. 3 al. 3 RAJ) et la TVA à 8 % (art. 2 al. 3 RAJ). L'indemnité d'office due au conseil de l'intimée pour la procédure de recours doit ainsi être arrêtée à 1'354 fr. 10, débours et TVA compris. La bénéficiaire de l'assistance judiciaire est, dans la mesure de l'art. 123 CPC (Code de procédure civile suisse du 19 décembre 2008, RS 272), tenue au remboursement de l'indemnité au conseil d'office mise à la charge de l'Etat. Par ces motifs, la Chambre des tutelles du Tribunal cantonal, statuant à huis clos, prononce : I. Les recours sont rejetés. II. Les décisions des 1 er septembre 2011 et 5 octobre 2011 sont confirmées. III. Le recourant A.L.________ doit verser à l'intimée W.________ la somme de  1'500 fr (mille cinq cents francs) à titre de dépens de deu­xième instance. IV. L'indemnité d'office de Me Lise-Marie Gonzalez Pennec, conseil d'office de l'intimée, est arrêtée à 1'354 fr. 10 (mille trois cent cinquante-quatre francs et dix centimes), TVA et débours compris, pour la procédure de recours. V. La bénéficiaire de l'assistance judiciaire est, dans la mesure de l'art. 123 CPC, tenue au remboursement de l'indemnité au conseil d'office mise à la charge de l'Etat. VI. L'arrêt, rendu sans frais, est exécutoire. Le président :              La greffière : Du</w:t>
      </w:r>
    </w:p>
    <w:p>
      <w:r>
        <w:rPr>
          <w:b/>
        </w:rPr>
        <w:t>E. 9</w:t>
      </w:r>
    </w:p>
    <w:p>
      <w:r>
        <w:t>février 2012 L'arrêt qui précède, dont la rédaction a été approuvée à huis clos, est notifié à : ‑ Me Alain Brogli (pour A.L.________), ‑ Me Lise-Marie Gonzalez Pennec (pour W.________), ‑ Service de protection de la jeunesse, et communiqué à : ‑ Justice de paix du district d'Aigle,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