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236 vom 26. Januar 2012</w:t>
      </w:r>
    </w:p>
    <w:p>
      <w:r>
        <w:t>VD Tribunal cantonal, 2012-01-26, FR</w:t>
      </w:r>
    </w:p>
    <w:p>
      <w:r>
        <w:rPr>
          <w:b/>
        </w:rPr>
        <w:t xml:space="preserve">Quelle: </w:t>
      </w:r>
      <w:r>
        <w:t>https://mcp.opencaselaw.ch/entscheid/vd_findinfo_Arr_t___2012___236</w:t>
      </w:r>
    </w:p>
    <w:p>
      <w:r>
        <w:t>FR: VD_FINDINFO Arrêt / 2012 / 236 du 26 janvier 2012</w:t>
      </w:r>
    </w:p>
    <w:p>
      <w:r>
        <w:t>IT: VD_FINDINFO Arrêt / 2012 / 236 del 26 gennaio 2012</w:t>
      </w:r>
    </w:p>
    <w:p>
      <w:pPr>
        <w:pStyle w:val="Heading2"/>
      </w:pPr>
      <w:r>
        <w:t>Regeste</w:t>
      </w:r>
    </w:p>
    <w:p>
      <w:r>
        <w:t>CURATELLE DE PATERNITÉ, CURATELLE DE REPRÉSENTATION, ADMISSION DE LA DEMANDE, RECONNAISSANCE D'UN ENFANT, PROCÈS DEVENU SANS OBJET, QUALITÉ POUR RECOURIR | 308 al. 2 CC, 309 al. 1 CC, 309 CC, 420 al. 2 CC, 403 CPC, 489 CPC, 174 al. 2 CDPJ</w:t>
      </w:r>
    </w:p>
    <w:p>
      <w:pPr>
        <w:pStyle w:val="Heading2"/>
      </w:pPr>
      <w:r>
        <w:t>Erwägungen</w:t>
      </w:r>
    </w:p>
    <w:p>
      <w:r>
        <w:rPr>
          <w:b/>
        </w:rPr>
        <w:t>E. 1</w:t>
      </w:r>
    </w:p>
    <w:p>
      <w:r>
        <w:t>Le recours est dirigé contre une décision de l'autorité tutélaire instituant une curatelle à forme des art. 308 al. 2 et 309 al. 1 CC (Code civil suisse du 10 décembre 1907, RS 210) en faveur d'un enfant. a) Contre une telle décision, le recours non contentieux de l'art. 420 al. 2 CC est ouvert à la Chambre des tutelles (art. 76 LOJV, Loi vaudoise d'organisation judiciaire du 12 décembre 1979, RSV 173.01). Ce recours, qui relève de la procédure non contentieuse et s'instruit conformément aux art. 489 ss CPC-VD (Code de procédure civile vaudoise du 14 décembre 1966, RSV 270.11; art. 109 al. 3 LVCC, Loi d'introduction dans le canton de Vaud du Code civil suisse du 30 novembre 1910, RSV 211.01), s'exerce par acte écrit dans les dix jours dès la communication de la décision attaquée (art. 492 al. 1 et 2 CPC-VD). Le Code de procédure civile suisse du 19 décembre 2008 (CPC, RS 272),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et à l’art. 420 al. 2 CC (JT 2011 III 48 c. 1a/bb; cf. art. 174 CDPJ [Code de droit privé judiciaire vaudois du 12 janvier 2010, RSV 211.02]). b) Le recours est ouvert au pupille capable de discernement ainsi qu'à tout intéressé (art. 420 al. 1 CC), soit notamment aux parents de l'enfant (ATF 121 III 1, JT 1996 I 662). Selon la jurisprudence constante de la Chambre des tutelles, la qualité d'intéressé au sens de l'art. 420 CC ne doit être reconnue qu'à celui qui agit dans l'intérêt du pupille ou qui fait valoir des droits propres prévus ou protégés par le droit de tutelle (CTUT 28 juin 2011/124). Cette jurisprudence est en accord avec celle du Tribunal fédéral qui exclut le droit de recours du tiers poursuivant la défense de ses intérêts personnels (ATF 103 II 170; ATF 113 II 232). Elle est également en accord avec la doctrine unanime (Deschenaux/Steinauer, Personnes physiques et tutelle, 4 e éd., 2001, n. 1014a, p. 387; Dischler, Die Wahl des geeigneten Vormunds, Fribourg 1984, n. 424 et les réf. cit. en note 36; Egger, Zurcher Kommentar, Zurich 1948, n. 20 ad art. 420 CC, p. 543; Kaufmann, Berner Kommentar, Bern 1924, n. 14 ad art. 420 CC, p. 385; Roos, La qualité pour recourir en matière de tutelle, RDT 1955, p. 97 ss, spéc. p. 103).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L'autorité tutélaire du domicile de l'enfant est compétente pour prendre les mesures de protection le concernant (art. 315 al. 1 CC; art. 399 al. 1 CPC-VD).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et de la famille, 4 e éd., Berne 1998, adaptation française par Meier, n. 27.61, p. 203). b) En l'espèce, A.A.________, seule détentrice de l'autorité parentale sur son fils B.A.________, était domicilié à Lausanne lors de l'ouverture de la procédure. La Justice de paix du district de Lausanne était donc compétente pour prendre des mesures en faveur de ce mineur. L'autorité tutélaire a rendu sa décision sans procéder à l'audition de la mère comme l'exige l'art. 403 CPC-VD en relation avec une mesure instituée par l'art. 308 CC. La décision contestée est toutefois également fondée sur l'art. 309 CC, disposition qui n'est pas mentionnée à l'art. 403 al. 1 CPC-VD et qui prévoit l'institution d'une curatelle dès que l'autorité tutélaire est informée de l'accouchement d'une femme non mariée. La question de savoir si la justice de paix devait entendre la mère avant de rendre sa décision peut rester ouverte dans la mesure où la recourante ne se plaint pas d'une violation de son droit d'être entendue. Quoiqu'il en soit, comme on le verra ci-dessous (cf. c. 4b), le dossier devra être retourné à l'autorité de première instance pour qu'elle se conforme aux exigences de l'art. 403 al. 1 CPC-VD en ce qui concerne la question de l'obligation d'entretien.</w:t>
      </w:r>
    </w:p>
    <w:p>
      <w:r>
        <w:rPr>
          <w:b/>
        </w:rPr>
        <w:t>E. 3</w:t>
      </w:r>
    </w:p>
    <w:p>
      <w:r>
        <w:t>La recourante s'oppose à l'institution d'une curatelle de représentation en faveur de son fils. Elle soutient que "la curatelle est prononcée pour obtenir du père la reconnaissance et une convention alimentaire alors même que les démarches administratives se terminent". a) Aux termes de l'art. 309 al. 1 CC, dès qu'une femme enceinte non mariée en fait la demande à l'autorité tutélaire ou que celle-ci a été informée de l'accouchement, elle nomme un curateur chargé d'établir la filiation paternelle, de conseiller et d'assister la mère d'une façon appropriée. L'autorité tutélaire peut en outre conférer au curateur certains pouvoirs tels que celui de représenter l'enfant pour faire valoir sa créance alimentaire (art. 308 al. 2 CC). L'art. 309 CC impose ainsi à l'autorité tutélaire de désigner à tout enfant né hors mariage et dont la filiation paternelle n'est pas établie un curateur dont la mission consiste à faire constater cette filiation. L'obligation résulte du texte légal, qui ne laisse à l'autorité aucun pouvoir d'appréciation (CTUT 12 avril 2010/67). Elle est confirmée par la doctrine, qui précise que la nomination d'un curateur intervient d'office lorsque l'enfant né hors mariage est privé de filiation paternelle (Stettler, Le droit suisse de la filiation, Traité de droit privé suisse, vol. III, tome II, 1987, p. 548). L'enfant a un droit à la constatation de son lien paternel (Hegnauer, op. cit., n. 27.30, p. 192; ATF 121 III 1). b) En l’espèce, le père présumé de l’enfant n’avait pas encore formellement reconnu ce dernier lorsque la justice de paix a pris sa décision. Certes, les démarches dans ce sens étaient en cours si l’on en croit les déclarations des deux signataires de la convention du 15 juin 2011. Toutefois, à défaut de reconnaissance formelle, l’autorité précitée était tenue de désigner un curateur à l’enfant pour établir sa filiation paternelle. La reconnaissance de l'enfant est intervenue entre-temps, soit le 21 novembre 2011. Le recours sur ce point est par conséquent devenu sans objet, la recourante n'ayant plus d'intérêt actuel à s'opposer à la désignation d'un curateur.</w:t>
      </w:r>
    </w:p>
    <w:p>
      <w:r>
        <w:rPr>
          <w:b/>
        </w:rPr>
        <w:t>E. 4</w:t>
      </w:r>
    </w:p>
    <w:p>
      <w:r>
        <w:t>Reste à examiner la question de la curatelle de représentation. a) Aux termes de l'art. 308 CC, lorsque les circonstances l'exigent, l'autorité tutélaire nomme à l'enfant un curateur qui assiste les père et mère de ses conseils et de son appui dans le soin de l'enfant (al. 1); l'autorité tutélaire peut conférer au curateur certains pouvoirs tels que celui de représenter l'enfant pour faire valoir sa créance alimentaire et d'autres droits, ainsi que la surveillance des relations personnelles (al. 2). L'art. 308 CC s'inscrit dans le cadre général des mesures protectrices de l'enfant. L'institution de cette sorte de curatelle suppose donc que l'intérêt de l'enfant soit menacé et que les père et mère n'y remédient pas d'eux-mêmes ou soient hors d'état de le faire (art. 307 CC; ATF 111 II 2, JT 1988 I 130 c. 1). Le législateur fédéral ayant admis que l'autorité parentale soit confiée de plein droit à la mère dès la naissance d'un enfant né hors mariage, il paraît légitime que, dans la règle, l'on renonce à la nomination d'un curateur, l'autorité tutélaire disposant dans tous les cas du garde-fou que constitue l'exigence de l'approbation de la convention alimentaire pour s'assurer de la sauvegarde des intérêts de l'enfant créancier (art. 287 al. 1 CC; Meier/Stettler, Droit de la filiation, 4 e éd., 2009, n. 1149, p. 663). Si la doctrine est partagée sur le point de savoir si la désignation d'un curateur devrait rester l'exception pour les parents engagés dans une relation stable de concubinage (Meier/Stettler, op. cit., n. 1150, p. 663, et les références de la note infrapaginale 2457, p. 663), il est unanimement reconnu que les parents peuvent conclure une convention d'entretien remplissant les conditions de l'art. 287 CC sans la collaboration d'un curateur et que la production d'une telle convention suffit pour renoncer à la désignation d'un curateur. Dans le cas d'un enfant né hors mariage, ce n'est qu'en l'absence d'une telle convention que le concours d'un curateur pourrait être nécessaire (ATF 111 II 2, JT 1988 I 130; Hegnauer, op. cit., n. 27.20, p. 189). b) En l'espèce, le 15 juin 2011, soit avant même que le père présumé ait formellement reconnu son fils, K.________ et A.A.________ ont établi et signé une convention alimentaire qu'ils ont soumise à la justice de paix le jour même. Il ressort de cette convention que les parties vivent en ménage commun, qu'elles ont convenu que l’autorité parentale sur l'enfant leur soit attribuée conjointement et qu'elles ont déclaré assumer conjointement l’entretien de l’enfant. En outre, le revenu mensuel net réalisé par le père présumé y est indiqué. Certes, sous la rubrique relative à l'éventualité d’une dissolution du ménage commun, le chiffre IV concernant la contribution d’entretien et d'éducation de l'enfant n'est pas rempli, les deux partenaires se contentant de se référer à la situation actuelle. Toutefois, une telle convention, établie sans le concours d’un curateur, remplit les conditions de l’art. 287 CC. Or, la décision attaquée, rendue ultérieurement, n’en évoque même pas l’existence, se contentant de charger la curatrice de mettre en œuvre une convention alimentaire, cas échéant par une demande d’aliments. A tout le moins depuis que le père présumé a reconnu son enfant, cette convention pouvait être soumise à l’approbation de l’autorité tutélaire, qui restait libre, après en avoir discuté avec les parties, de la compléter. Le dossier doit par conséquent être renvoyé à la justice de paix, qui devra citer les parents à son audience, conformément à l’art. 403 al. 1 CPC VD, afin d’examiner la convention alimentaire qu’ils ont d’ores et déjà établie, cas échéant de la compléter et de l’approuver. La mission de la curatrice devra ainsi être déclarée close, son concours n’étant plus nécessaire vu ce qui précède.</w:t>
      </w:r>
    </w:p>
    <w:p>
      <w:r>
        <w:rPr>
          <w:b/>
        </w:rPr>
        <w:t>E. 5</w:t>
      </w:r>
    </w:p>
    <w:p>
      <w:r>
        <w:t>En définitive, le recours d'A.A.________ doit être admis dans la mesure où il a encore un objet et la cause renvoyée à la Justice de paix du district de Lausanne pour nouvelle instruction et nouvelle décision dans le sens des considérants. L'arrêt peut être rendu sans frais (art. 236 al. 2 aTFJC [Tarif des frais judiciaires en matière civile du 4 décembre 1984], qui continue à s'appliquer pour toutes les procédures visées par l'art. 174 CDPJ, conformément à l'art. 100 TFJC [Tarif des frais judiciaires en matière civile du 28 septembre 2010, RSV 270.11.5]). Par ces motifs, la Chambre des tutelles du Tribunal cantonal, statuant à huis clos, prononce : I. Le recours est admis dans la mesure où il a encore un objet. II. La cause est retournée à la Justice de paix du district de Lausanne pour nouvelle instruction et nouvelle décision au sens des considérants. III. L'arrêt est rendu sans frais. IV. L'arrêt motivé est exécutoire. Le président :              La greffière : Du 26 janvier 2012 Le dispositif de l'arrêt qui précède est communiqué par écrit aux intéressés. La greffière : Du L'arrêt qui précède, dont la rédaction a été approuvée à huis clos, est notifié à : ‑ Mme A.A.________, ‑ M. K.________, ‑ Me Cécile Maud Tirelli (pour B.A.________),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