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904 vom 11. Juli 2011</w:t>
      </w:r>
    </w:p>
    <w:p>
      <w:r>
        <w:t>VD Tribunal cantonal, 2011-07-11, FR</w:t>
      </w:r>
    </w:p>
    <w:p>
      <w:r>
        <w:rPr>
          <w:b/>
        </w:rPr>
        <w:t xml:space="preserve">Quelle: </w:t>
      </w:r>
      <w:r>
        <w:t>https://mcp.opencaselaw.ch/entscheid/vd_findinfo_Arr_t___2011___904</w:t>
      </w:r>
    </w:p>
    <w:p>
      <w:r>
        <w:t>FR: VD_FINDINFO Arrêt / 2011 / 904 du 11 juillet 2011</w:t>
      </w:r>
    </w:p>
    <w:p>
      <w:r>
        <w:t>IT: VD_FINDINFO Arrêt / 2011 / 904 del 11 luglio 2011</w:t>
      </w:r>
    </w:p>
    <w:p>
      <w:pPr>
        <w:pStyle w:val="Heading2"/>
      </w:pPr>
      <w:r>
        <w:t>Regeste</w:t>
      </w:r>
    </w:p>
    <w:p>
      <w:r>
        <w:t>RETRAIT DU DROIT DE GARDE, CURATELLE ÉDUCATIVE, RELATIONS PERSONNELLES | 273 al. 1 CC, 308 al. 1 CC, 310 al. 1 CC, 315a al. 3 CC, 399 CPC, 489 CPC</w:t>
      </w:r>
    </w:p>
    <w:p>
      <w:pPr>
        <w:pStyle w:val="Heading2"/>
      </w:pPr>
      <w:r>
        <w:t>Erwägungen</w:t>
      </w:r>
    </w:p>
    <w:p>
      <w:r>
        <w:rPr>
          <w:b/>
        </w:rPr>
        <w:t>E. 1</w:t>
      </w:r>
    </w:p>
    <w:p>
      <w:r>
        <w:t>CC, à savoir une curatelle d'assistance éducative, constitue un jugement au sens de l'art. 403 CPC-VD (Code de procédure civile vaudois du 14 décembre 1966, RSV 270.11), qui reste applicable conformément à l'art. 174 CDPJ (Code de droit privé judiciaire vaudois du 12 janvier 2010, RSV 211.02). a) Conformément à l'art. 405 CPC-VD, un recours peut être adressé au Tribunal cantonal, soit à la Chambre des tutelles (art. 76 al. 2 LOJV [loi d'organisation judiciaire du 12 décembre 1979, RSV 173.01]), contre une telle décision de l'autorité tutélaire dans les dix jours dès sa communication. Le recours s'exerce par acte écrit à l'office dont émane la décision ou au Tribunal cantonal et s'instruit selon les formes du recours non contentieux prévues aux art. 489 ss CPC-VD (art. 109 al. 3 LVCC [loi du 30 novembre 1910 d'introduction dans le Canton de Vaud du Code civil suisse, RSV 211.01] ; art. 405 et 492 CPC-VD). Il est ouvert à la partie dénonçante, aux dénoncés, au Ministère public ainsi qu'à tout intéressé, soit notamment à chacun des parents (art. 405 CPC-VD; CTUT 5 mars 2009/48). La Chambre des tutelles peut réformer la décision attaquée ou en prononcer la nullité (art. 498 al. 1 CPC-VD). Si la cause n'est pas suffisamment instruite, elle peut la renvoyer à l'autorité tutélaire ou procéder elle-même à l'instruction complémentaire (art. 498 al.</w:t>
      </w:r>
    </w:p>
    <w:p>
      <w:r>
        <w:rPr>
          <w:b/>
        </w:rPr>
        <w:t>E. 2</w:t>
      </w:r>
    </w:p>
    <w:p>
      <w:r>
        <w:t>a) Saisie d'un recours non contentieux, 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 Poudret/Haldy/Tappy, Procédure civile vaudoise,</w:t>
      </w:r>
    </w:p>
    <w:p>
      <w:r>
        <w:rPr>
          <w:b/>
        </w:rPr>
        <w:t>E. 3</w:t>
      </w:r>
    </w:p>
    <w:p>
      <w:r>
        <w:t>a) La recourante conteste que l’intérêt de son fils justifie que le droit de garde soit rendu au père B.F.________. En bref, elle relève que, depuis plus d’une année, C.F.________ vit dans une famille au sein de laquelle il a trouvé sa place, qu’il s’y est bien intégré et que le fait d’emménager seul – dans un studio – chez son père ne saurait être considéré comme étant conforme à son bien, ni d’ailleurs lui conférer la stabilité dont il a bénéficié jusqu’à ce jour chez son oncle. b)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Lorsqu'elle ne peut éviter par une mesure moins grave que le développement de l'enfant ne soit compromis, l'autorité tutélaire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 ème éd., Berne 1994, n. 5.2.1.2, p. 418; Knapp, Précis de droit administratif, 4 ème éd., Bâle 1991, n. 538, p. 114). Une mesure telle que le retrait du droit de garde n'est ainsi légitime que s'il n'est pas possible de prévenir le danger par les mesures moins énergiques prévues aux art. 307 et 308 CC (Hegnauer, op. cit., n. 27.36, p. 194). Le retrait du droit de garde doit être levé lorsque le milieu familial évolue favorablement, de sorte qu'un retour de l'enfant dans celui-ci devient opportun (art. 313 al. 1 CC). c) Dans son rapport du 16 avril 2010, le SPJ a relaté qu’C.F.________ subissait des nettoyages et des contrôles de propreté d'A.F.________, chaque matin et après-midi. Cela le mettait souvent en retard pour l'école, lieu où sa mère ne l'autorisait pas à se rendre aux toilettes. Lors des rares sorties, l'enfant devait jouer à l'infirmier pour la soutenir dans ses phobies et la mère l'empêchait de mener une vie de garçon de son âge. Avec sa fréquentation scolaire sporadique, l’enfant était en décalage et n’arrivait plus à suivre pour rattraper le retard, alors qu’il était doué et intelligent selon son professeur. Suite à ce rapport, le juge de paix a, par ordonnance de mesures provisionnelles du 27 avril 2010 confirmant les mesures préprovisionnelles du 23 mars 2010, retiré le droit de garde d’C.F.________ à ses père et mère et l’a confié à titre provisoire au SPJ, la situation du prénommé étant particulièrement préoccupante. Le SPJ a alors placé l’enfant dans la famille de l'oncle et de la tante maternels de celui-là depuis le mois d’avril 2010. Depuis lors, la situation a évolué. D’une part, C.F.________ va mieux. Il bénéfice d’un suivi hebdomadaire auprès d’une psychologue et de soutien scolaire à raison de deux heures par semaine au Centre vaudois d’aide à la jeunesse. D’autre part, les parents ont été autorisés, par prononcé de mesures protectrices de l'union conjugale du 29 juillet 2010, à vivre séparés pour une durée indéterminée. Dès lors, des contacts plus réguliers ont pu être établis entre le père et son fils, ceci en dehors de la présence de la mère. En effet, selon le rapport du SPJ du 16 avril 2010, B.F.________ essayait de compenser les affections de sa femme pour protéger son enfant et n’avait d’ailleurs jamais pu sortir seul avec lui car C.F.________ aurait alors pu échapper au contrôle de sa mère. Or, conformément au rapport du 17 septembre 2010, il y a eu des contacts plus fréquents entre le père et l’enfant, celui-ci ayant notamment passé les deux dernières semaines de vacances scolaires avec B.F.________. Ce dernier s’est investi dans son rôle de père et a démontré qu’il agissait de manière adéquate avec son fils. De plus, il a débuté un suivi psychothérapeutique dans une perspective de développement personnel et non pas, contrairement à ce que semble penser la recourante, en raison d’une fragilité psychique. Du reste, les compétences parentales du père n’ont jamais été mises en cause, le retrait initial du droit de garde des deux parents se justifiant, d’une part, par le comportement de la mère et des répercussions directes sur le développement d’C.F.________ et, d’autre part, par l’impossibilité du père de parer à la dégradation de l’état de son épouse, cette dernière circonstance ayant désormais évolué en raison de la séparation du couple. Certes, B.F.________, malgré les dettes contractées, doit encore trouver un appartement plus grand pour accueillir son fils, ce qui ne sera pas aisé. Reste que le SPJ n’a émis aucune contre-indication et qu’on n’en voit d’ailleurs aucune à ce qu’il accueille déjà son enfant tout en recherchant un logement plus grand. Enfin, C.F.________ se réjouit d’aller vivre chez son père. La recourante souffre quant à elle de problèmes psychologiques (TOC). Certes, son état s’est amélioré. Elle est prise en charge par un psychiatre et par une infirmière à raison d’une fois par semaine. Il n'en demeure pas moins que la mère conserve peu de distance avec son fils et s’en occupe comme d’un tout petit enfant, ce qui n’est pas adéquat pour un jeune de douze ans. Par ailleurs, malgré les progrès effectués, elle reste dans un certain déni de ses troubles, lesquels ont justifié l’ouverture à son encontre d’une enquête en interdiction civile et privation de liberté à des fins d’assistance. Selon le SPJ, un long suivi thérapeutique serait nécessaire à la recourante pour maîtriser son angoisse et le fonctionnement qui en découle. Au regard de l’ensemble de ces éléments, rien ne justifie de retirer le droit de garde d'B.F.________. Il est le plus à même d’assurer à son fils un développement harmonieux et il convient ainsi de confirmer l’attribution de la garde d’C.F.________ à son père, aucun élément au dossier ne permettant de penser que l’intérêt de l’enfant pourrait ainsi être compromis. Au surplus, lorsque les parents séparés ou divorcés exercent conjointement l'autorité parentale, le droit de garde est, sous réserve d'une solution de garde partagée qui n'entre pas en considération en l'espèce, attribué à l'un d'entre eux. Le droit de garde étant en l'occurrence confié à B.F.________, il n'y a pas lieu de retirer formellement ledit droit à la recourante.</w:t>
      </w:r>
    </w:p>
    <w:p>
      <w:r>
        <w:rPr>
          <w:b/>
        </w:rPr>
        <w:t>E. 4</w:t>
      </w:r>
    </w:p>
    <w:p>
      <w:r>
        <w:t>ème éd., 2009, n. 1137, pp. 657-658). L'institution d'une telle curatelle présuppose d'abord, comme toute mesure de protection (art. 307 al. 1 CC), que l'enfant coure un danger et que son développement soit menacé (TF 5A_839/2008 du 2 mars 2009 ; ATF 108 II 372 c. 1, JT 1984 I 612). Il ne s'agit toutefois pas d'un danger au sens où l'enfant serait directement menacé de subir de mauvais traitements. Il y a danger lorsque l'on doit sérieusement craindre, d'après les circonstances, que le bien-être corporel, intellectuel et moral de l'enfant ne soit compromis ; il n'est pas nécessaire que le mal soit déjà fait. Le danger qui justifie la désignation d'un curateur peut être lié à des causes aussi diverses que l'inexpérience, la maladie, l'absence ou l'indifférence des parents, des prédispositions ou une conduite nuisible de l'enfant, des parents ou de l'entourage (Meier/Stettler, op. cit., n. 1138, p. 658; Hegnauer, op. cit., n. 27.14, p. 186). c) En l’espèce, B.F.________ doit encore être aidé et soutenu dans la prise en charge, nouvelle pour lui, de son fils. De plus, il convient de garantir à C.F.________ le maintien de relations adéquates avec sa mère et de favoriser la communication ainsi que la collaboration entre les parents. Dans ces conditions, la curatelle d’assistance éducative instaurée en faveur de l’enfant doit être maintenue. Contrairement à ce que semble penser la recourante, cette mesure est adéquate, proportionnée et suffisante pour assurer la protection d’C.F.________. Une mesure plus énergique – tel que le retrait du droit de garde d'B.F.________ – contreviendrait au principe de subsidiarité, dès lors qu’aucun élément ne s’oppose à ce que cette garde soit précisément attribuée au père (cf. supra c. 3).</w:t>
      </w:r>
    </w:p>
    <w:p>
      <w:r>
        <w:rPr>
          <w:b/>
        </w:rPr>
        <w:t>E. 5</w:t>
      </w:r>
    </w:p>
    <w:p>
      <w:r>
        <w:t>a) La recourante reproche à l’autorité de première instance de ne pas avoir reconnu son droit de visite et de ne pas en avoir fixé les modalités. b)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(ATF 127 III 295 c. 4a ; ATF 123 III 445 c. 3c, JT 1998 I 354). Le maintien et le développement de ce lien étant évidemment bénéfiques pour l'enfant, les relations personnelles doivent donc être privilégiées, sauf si le bien de l'enfant est mis en danger. Le droit aux relations personnelles n'est ainsi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Cette mesure constitue néanmoins une "ultima ratio" et ne doit être ordonnée que si le danger pour le bien de l'enfant ne peut être écarté par d'autres mesures appropriées. Le préjudice causé à l'enfant peut être limité par l'établissement d'un droit de visite surveillé, qui s'exerce en présence d'un tiers. Une telle surveillance ne peut toutefois être instaurée que lorsqu'il existe des indices concrets de mise en danger du bien de l'enfant (Hegnauer, op. cit., n. 19.20, p. 116).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du droit de visite, si son développement physique, moral ou psychique est menacé par la présence même limitée du parent concerné. Il importe en outre que cette menace ne puisse être écartée par d'autres mesures appropriées (TF 5A_448/2008 du 2 octobre 2008 ; ATF 131 III 209, JT 2005 I 201 ; ATF 118 II 21 c. 3c, résumé in JT 1995 I 548). La violation par les parents de leurs obligations et le fait de ne pas se soucier de l'enfant ne justifient un tel refus ou retrait que si ces comportements portent atteinte au bien de l'enfant (ATF 131 III 209 et 118 II 21 c. 3c précités). On peut admettre qu'un parent ne s'est pas soucié sérieusement de son enfant au sens de l'art. 274 al. 2 CC lorsqu'il ne prend aucune part à son bien-être, s'en remet en permanence à d'autres pour les soins dus à l'enfant et n'entreprend rien pour établir ou entretenir une relation vivante avec lui ; peu importe de savoir si les efforts auraient été couronnés de succès et si le comportement du parent habilité à donner son consentement est coupable ou non (ATF 118 II 21 précité c. 3d ; CREC II 10 juin 2003/617). Les conflits entre les parents ne constituent pas un motif de restreindre le droit de visite. Une telle limitation n'est justifiée que s'il y a lieu d'admettre, au regard des circonstances, que l'octroi d'un droit de visite usuel compromet le bien de l'enfant (ATF 131 III 209 précité c. 5 ; CREC II 23 mars 2009/50). La décision de supprimer ou de suspendre pour une période relativement longue le droit de visite constitue une "ultima ratio" qui ne doit intervenir que si la raison qui fait craindre un danger pour le bien de l'enfant est telle qu'elle ne peut être exclue ni par l'établissement d'un droit de visite surveillé, ni par d'autres mesures (ATF 122 III 404, JT 1998 I 46 ; Hegnauer, op. cit., n. 19.20, p. 116; TF 5P.369/2004 du 24 novembre 2004 in La pratique du droit de la famille [FamPra.ch] 2005, p. 393 et réf. citées). La notion de bien de l'enfant a été élevée en droit suisse au niveau d'un droit constitutionnel. Le principe de la priorité du bien de l'enfant doit être pris dans un sens global et recouvre entre autres les possibilités de développement au niveau moral, psychique, physique et social en fonction de l'âge de l'enfant ; il faut donc rechercher la meilleure solution possible pour l'enfant compte tenu de toutes les circonstances du cas d'espèce (ATF 129 III 250 c. 3.4.2, JT 2003 I 187 et la jurisprudence citée). La mise en danger concrète du bien de l'enfant est nécessaire non seulement pour justifier un refus ou un retrait du droit aux relations personnelles, mais aussi pour imposer au titulaire l'obligation de se soumettre à des modalités particulières telles qu'un droit de visite surveillé (Meier/Stettler, op. cit., n. 714, pp. 417-418). Si les répercussions négatives d'un droit de visite peuvent être limitées de façon suffisante par la présence d'une tierce personne, le droit de visite ne peut être supprimé (TF 5A_92/2009 du 22 avril 2009 in FamPra.ch 2009, p. 786). Lorsque les relations restreintes avec le parent n'ayant pas le droit de garde mettent déjà le bien-être de l'enfant en danger, il convient d'envisager la possibilité de refuser ou de retirer un droit de visite. En cas de risques sérieux pour la santé de l'enfant, tout contact personnel doit être proscrit (TF 5P.131/2006 du 25 août 2006 in FamPra.ch 2007, p. 167). c) En l’espèce, l’autorité précédente n’a pas statué sur la question du droit de visite de la recourante. Celle-ci requiert de pouvoir exercer ce droit tous les lundis midi, tous les mercredis dès la sortie de l’école au jeudi matin jusqu’au départ à l’école, un week-end sur deux et la moitié des vacances scolaires. Selon le rapport du SPJ du 17 septembre 2010, la recourante est à même d'assumer de manière adéquate un droit de visite usuel, tout en étant entourée de sa famille pour les nuits. Dans ses déterminations, B.F.________ a expliqué ne pas s’opposer à ce que la recourante exerce un large droit de visite à l’égard de son fils, dès lors qu’il est dans l’intérêt de celui-ci de la voir régulièrement. Ainsi, il convient de renvoyer la cause à l’autorité de première instance pour instruire et statuer sur le droit de visite de la recourante ainsi que sur les modalités dudit droit.</w:t>
      </w:r>
    </w:p>
    <w:p>
      <w:r>
        <w:rPr>
          <w:b/>
        </w:rPr>
        <w:t>E. 6</w:t>
      </w:r>
    </w:p>
    <w:p>
      <w:r>
        <w:t>En conclusion, le recours doit être partiellement admis et la cause renvoyée à la justice de paix afin qu’elle statue sur le droit de visite de la recourante à l'égard de son fils C.F.________. La décision est confirmée pour le surplus. Le présent arrêt peut être rendu sans frais conformément à l'art. 236 al. 2 aTFJC (tarif du 4 décembre 1984 des frais judiciaires en matière civile), qui continue à s'appliquer pour toutes les procédures visées par l'art. 174 CDPJ (art. 100 TFJC [tarif du 28 septembre 2010 des frais judiciaires civils, RSV 270.11.5]). Aucune des parties n’obtenant entièrement gain de cause, il y a lieu de compenser les dépens de deuxième instance. Par ces motifs, la Chambre des tutelles du Tribunal cantonal, statuant à huis clos, prononce : I. Le recours est partiellement admis. II. La cause est renvoyée à la Justice de paix du district de Lausanne pour statuer au sujet du droit de visite d'A.F.________ sur son fils C.F.________. III. La décision est confirmée pour le surplus. IV. L'arrêt est rendu sans frais. V. Les dépens de deuxième instance sont compensés. Le président :              La greffière : Du</w:t>
      </w:r>
    </w:p>
    <w:p>
      <w:r>
        <w:rPr>
          <w:b/>
        </w:rPr>
        <w:t>E. 11</w:t>
      </w:r>
    </w:p>
    <w:p>
      <w:r>
        <w:t>juillet 2011 Le dispositif de l'arrêt qui précède est communiqué par écrit aux intéressés. La greffière : Du L'arrêt qui précède, dont la rédaction a été approuvée à huis clos, est notifié à : ‑ Me Elie Elkaim (pour A.F.________), ‑ Me Christine Marti (pour B.F.________), - Service de protection de la jeunesse,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