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790 vom 28. Juli 2011</w:t>
      </w:r>
    </w:p>
    <w:p>
      <w:r>
        <w:t>VD Tribunal cantonal, 2011-07-28, FR</w:t>
      </w:r>
    </w:p>
    <w:p>
      <w:r>
        <w:rPr>
          <w:b/>
        </w:rPr>
        <w:t xml:space="preserve">Quelle: </w:t>
      </w:r>
      <w:r>
        <w:t>https://mcp.opencaselaw.ch/entscheid/vd_findinfo_Arr_t___2011___790</w:t>
      </w:r>
    </w:p>
    <w:p>
      <w:r>
        <w:t>FR: VD_FINDINFO Arrêt / 2011 / 790 du 28 juillet 2011</w:t>
      </w:r>
    </w:p>
    <w:p>
      <w:r>
        <w:t>IT: VD_FINDINFO Arrêt / 2011 / 790 del 28 luglio 2011</w:t>
      </w:r>
    </w:p>
    <w:p>
      <w:pPr>
        <w:pStyle w:val="Heading2"/>
      </w:pPr>
      <w:r>
        <w:t>Regeste</w:t>
      </w:r>
    </w:p>
    <w:p>
      <w:r>
        <w:t>INTERDICTION, ADMISSION DE LA DEMANDE, PROPORTIONNALITÉ, CURATELLE DE GESTION, CURATELLE DE REPRÉSENTATION | 369 CC, 392 ch. 1 CC, 393 ch. 2 CC, 397 CC, 393 CPC</w:t>
      </w:r>
    </w:p>
    <w:p>
      <w:pPr>
        <w:pStyle w:val="Heading2"/>
      </w:pPr>
      <w:r>
        <w:t>Erwägungen</w:t>
      </w:r>
    </w:p>
    <w:p>
      <w:r>
        <w:rPr>
          <w:b/>
        </w:rPr>
        <w:t>E. 1</w:t>
      </w:r>
    </w:p>
    <w:p>
      <w:r>
        <w:t>L'appel est dirigé contre une décision de l'autorité tutélaire instituant une mesure de tutelle à forme de l'art. 369 CC (Code civil suisse du 10 décembre 1907, RS 210) en faveur de l'appelante. a) Conformément à l'art. 393 CPC-VD (Code de procédure civile du 14 décembre 1966, RSV 270.11), qui demeure applicable conformément à l'art.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Poudret/Haldy/Tappy, Procédure civile vaudoise, 3 e éd., Lausanne 2002, note ad art. 393 CP-VD, p. 599; Zurbuchen, La procédure d'interdiction, thèse Lausanne 1991, pp. 169 et 170). b) En l'espèce, interjeté en temps utile par la personne interdite, le présent appel est recevable à la forme. Il en va de même du mémoire déposé dans le délai imparti à cet effet et des pièces produites en deuxième instance (art. 393 al. 3 CPC-VD).</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 Haldy/Tappy, op. cit., n. 3 ad art. 492 CPC-VD, p. 763, par analogie). Dans le canton de Vaud, la procédure en matière d'interdiction est régie par les art. 379 ss CPC-VD, sous réserve des règles de procédure fédérale définies aux art. 373 à 375 CC. a)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 ème éd., 2001, n. 858c, p 338 et les références citées; Poudret/Haldy/Tappy, op. cit., n. 1 ad art. 379 CPC, p. 586). Le Tribunal fédéral a précisé que le domicile au moment de l'introduction de la procédure est décisif; la compétence ainsi établie subsiste jusqu'à la conclusion définitive de la procédure, afin d'éviter qu'un changement de domicile de l'intéressé puisse retarder ou entraver son aboutissement (TF 5C.200/2002 du 16 octobre 2002 c. 2, rés. in RDT 2003 p. 131 [RJ 26.03]).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terminée, le juge de paix la soumet à la justice de paix qui peut ordonner un complément d'enquête (art. 382 al. 1 CPC-VD).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la Juge de paix du district du Jura-Nord Vaudois en charge de la mesure de curatelle concernant P.________, alors domiciliée à Vallorbe, était compétente pour ouvrir une enquête en interdiction civile. Le changement ultérieur de domicile de la pupille est sans influence sur la compétence, qui doit être réalisée au moment de l'ouverture de l'enquête. La juge de paix a procédé à une enquête et ordonné une expertise médicale. Elle a soumis le rapport au Conseil de santé qui a déclaré ne pas avoir d'observation à formuler. La Municipalité de Romanel-sur-Lausanne a informé la justice de paix qu'elle ne pouvait se prononcer. Au terme de l'enquête, le juge de paix a déféré la cause à la justice de paix qui a entendu la pupille et sa curatrice lors de sa séance du 14 avril 2011, avant de rendre la décision querellée. Il s'ensuit que la décision entreprise est formellement correcte et peut être examinée quant au fond.</w:t>
      </w:r>
    </w:p>
    <w:p>
      <w:r>
        <w:rPr>
          <w:b/>
        </w:rPr>
        <w:t>E. 3</w:t>
      </w:r>
    </w:p>
    <w:p>
      <w:r>
        <w:t>a) L'interdiction de l'appelante a été prononcée en application de l'art. 369 CC.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6</w:t>
      </w:r>
    </w:p>
    <w:p>
      <w:r>
        <w:t>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334 ss; TF 5C.74/2003 du 3 juillet 2002, in FamPra 2003, p. 975). La mesure tutélaire doit avoir l'efficacité recherchée, tout en sauvegardant au maximum la sphère de liberté de l'intéressé (Deschenaux/ Steinauer, op. cit., n. 862; TF 5A_55/2010 du 9 mars 2010 c. 5.1, in SJ 2011 I 130). b) En l'espèce, il résulte de l'expertise que l'appelante présente un trouble schizotypique ainsi qu'un trouble déficitaire de l'attention avec hyperactivité. Il s'agit d'une affection durable qui affecte le fonctionnement psychique au long cours. On doit ainsi s'attendre à ce que le fonctionnement reste fragilisé. Les troubles relationnels, caractérisés par le surinvestissement momentané et par la méfiance, et les perturbations du cours et du contenu de la pensée compromettaient de façon significative les capacités de gestion de l'expertisée. Selon les experts, celle-ci ne peut  se passer d'une assistance ou d'une aide permanente. Il découle de ce qui précède que tant la cause que la condition d'une mesure tutélaire sont réalisées. L'appelante ne le conteste d'ailleurs pas, puisqu'elle admet elle-même qu'elle a besoin d'aide et de soutien dans la gestion de ses affaires. Il reste à déterminer si la mesure de tutelle est proportionnée et adéquate. L'ancienne curatrice a fait valoir que la mesure de curatelle était inutile, vu le défaut de collaboration de la pupille. Elle a expliqué que celle-ci avait déménagé à quatre reprises depuis le début de son mandat, sans jamais l'en informer. Elle était difficilement joignable et ne donnait pas suite aux demandes de sa curatrice. Selon les experts, si l'appelante est capable de comprendre la portée d'une tutelle, il est difficile de prévoir si elle serait capable d'investir positivement la mesure ou si celle-ci représenterait pour elle un élément vécu comme une menace ou une intrusion. L'expertise relève que la pupille est mécontente de sa curatelle et qu'elle souhaite elle-même une mesure de tutelle – ce qui n'est déjà plus le cas à ce jour. Toutefois, ils ont relevé que sa motivation était placée par elle-même à l'extérieur de son fonctionnement et de ses difficultés, sur le plan conflictuel interpersonnel, et qu'il était dès lors difficile de prévoir si cette motivation serait une condition favorable à la création d'un lien de collaboration volontaire avec un futur tuteur. Selon les experts, la déresponsabilisation, qui serait la conséquence d'une mesure de tutelle non volontaire, pourrait avoir des répercussion pernicieuses, plaçant l'expertisée dans un contexte où elle pourrait se sentir menacée et persécutée. L'appelante admet avoir besoin d'aide. Elle s'est inscrite auprès des services sociaux de Prilly et Echallens et se sent depuis lors mieux aidée. Elle a suivi des cours de réinsertion afin de retrouver un emploi à temps partiel. Elle est en outre suivie psychologiquement deux fois par mois. Selon le Dr [...], spécialiste en psychiatrie, l'appelante se démène courageusement pour survivre et conserver sa dignité. Elle travaille comme employée de ménage environ 12 heures par semaine. Selon ce spécialiste, elle garde, malgré les difficultés dont elle est consciente, un dynamisme raisonnablement positif quant à l'avenir. Il convient dès lors d'éviter que l'aide proposée soit vécue comme stigmatisante voire humiliante. Selon son médecin généraliste, l'appelante a en outre depuis janvier 2011 fait preuve d'une prise en main remarquable, notamment en collaboration avec son assistant social, et démontré une bonne autonomie dans la recherche d'un emploi à temps partiel, d'un nouveau logement et dans la gestion de son suivi médical. La mesure de curatelle présuppose la volonté et l'aptitude à collaborer de l'intéressée, une collaboration avec le curateur étant indispensable au succès d'une telle mesure (TF 5A_82/2011 du 8 avril 2011 c. 3.1; TF 5C.74/2003 du 3 juillet 2003 c. 4.3.1, in FamPra.ch 2003 p. 975). En l'état, si la collaboration n'a pas été possible avec l'ancienne curatrice, il ne résulte pas de l'expertise – ni de l'avis du Dr [...] – que l'appelante serait de manière générale inapte à collaborer. L'appelante admet elle-même avoir besoin d'aide et requiert la désignation d'un nouveau curateur. Si l'expertise pose la nécessité d'une aide permanente, d'une mesure tutélaire, elle ne préconise pas une mesure de tutelle, laquelle pourrait avoir des répercussions pernicieuses, plaçant l'appelante d'emblée dans un contexte où elle pourrait se sentir menacée et persécutée. Le psychothérapeute de l'appelante insiste sur la nécessité que l'aide proposée ne soit pas vécue comme stigmatisante et sur le dynamisme qu'elle garde malgré les difficultés. L'appelante paraît ainsi apte à collaborer avec les médecins qu'elle consulte et avec les assistants sociaux. En l'état, une mesure de tutelle qui la priverait de l'exercice de ses droits civils, paraît ainsi disproportionnée. Le besoin de protection étant toutefois avéré, on ne saurait se contenter d'une mesure de curatelle volontaire. L'appelante doit ainsi être mise au bénéfice d'une curatelle combinée, soit d'une curatelle de représentation à forme de l'art. 392 ch. 1 CC et d'une curatelle de gestion à forme de l'art. 393 ch. 2 CC. Cette mesure apparaît nécessaire et suffisante pour sauvegarder les intérêts de l'appelante. Il convient de relever que si la pupille devait ne pas collaborer avec le nouveau curateur qui lui sera désigné, elle s'expose à ce qu'une mesure plus incisive, soit une tutelle, soit prononcée afin de lui apporter l'assistance dont il est avéré qu'elle a besoin. Il appartiendra dès lors à la justice de paix de désigner un nouveau curateur à l'appelante. A cet égard, il sied de noter que cette curatelle nécessite des compétences et des capacités qui dépassent celles d'un curateur privé et qu'il apparaît prima facie opportun de la confier au Tuteur général. En effet, une désignation de l'Office du Tuteur général, qui bénéficie de compétences professionnelles, est susceptible de stabiliser les relations de la pupille avec celui qui doit l'aider. 4. 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(al. 3). En l'espèce, si la publication de la curatelle dans la Feuille des avis officiels n'est pas opportune, la communication de la décision à l'Office des poursuites du district de Lausanne paraît en revanche judicieuse au vu des poursuites dirigées contre la pupille et de son attitude dépensière relevée par la curatrice. 5. En définitive, l'appel interjeté par P.________ doit être admis et la décision entreprise réformée aux chiffres III à VI de son dispositif en ce sens qu'il est institué une mesure de curatelle combinée à forme des art. 392 ch. 1 et 393 ch. 2 CC en faveur de P.________, la décision étant communiquée à l'Office des poursuites du district de Lausanne. La cause est pour le surplus renvoyée à la Justice de paix du district du Jura-Nord vaudois pour désignation d'un curateur.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prononce : I. L'appel est admis. II. La décision est réformée comme il suit aux chiffres III à VI de son dispositif: III.- institue une mesure de curatelle combinée à forme des art. 392 ch. 1 et 393 ch. 2 CC en faveur de P.________, née le 4 septembre 1960; IV.- et V.- supprimés; VI.- communique la présente décision à l'Office des poursuites du district de Lausanne. III. La cause est pour le surplus renvoyée à la Justice de paix du district du Jura-Nord vaudois pour désignation d'un curateur à P.________. IV. L'arrêt est rendu sans frais. Le président :              La greffière : Du L'arrêt qui précède, dont la rédaction a été approuvée à huis clos, est notifié à : ‑ Mme P.________,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