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769 vom 20. Juli 2011</w:t>
      </w:r>
    </w:p>
    <w:p>
      <w:r>
        <w:t>VD Tribunal cantonal, 2011-07-20, FR</w:t>
      </w:r>
    </w:p>
    <w:p>
      <w:r>
        <w:rPr>
          <w:b/>
        </w:rPr>
        <w:t xml:space="preserve">Quelle: </w:t>
      </w:r>
      <w:r>
        <w:t>https://mcp.opencaselaw.ch/entscheid/vd_findinfo_Arr_t___2011___769</w:t>
      </w:r>
    </w:p>
    <w:p>
      <w:r>
        <w:t>FR: VD_FINDINFO Arrêt / 2011 / 769 du 20 juillet 2011</w:t>
      </w:r>
    </w:p>
    <w:p>
      <w:r>
        <w:t>IT: VD_FINDINFO Arrêt / 2011 / 769 del 20 luglio 2011</w:t>
      </w:r>
    </w:p>
    <w:p>
      <w:pPr>
        <w:pStyle w:val="Heading2"/>
      </w:pPr>
      <w:r>
        <w:t>Regeste</w:t>
      </w:r>
    </w:p>
    <w:p>
      <w:r>
        <w:t>AI{ASSURANCE}, RENTE{EN GÉNÉRAL}, RAPPORT MÉDICAL, FORCE PROBANTE | 28 LAI, 4 LAI, 44 LPGA, 7 LPGA, 8 LPGA</w:t>
      </w:r>
    </w:p>
    <w:p>
      <w:pPr>
        <w:pStyle w:val="Heading2"/>
      </w:pPr>
      <w:r>
        <w:t>Erwägungen</w:t>
      </w:r>
    </w:p>
    <w:p>
      <w:r>
        <w:rPr>
          <w:b/>
        </w:rPr>
        <w:t>E. 6</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b) En l'occurrence, des doutes suffisants existent quant au caractère probant des avis du SMR (cf. consid. 4d et 5b/bb supra) – éléments sur lesquels l'OAI a pourtant fondé la décision entreprise. Il y a discordance manifeste – sans que l'on puisse pour autant dénier valeur probante à leurs avis respectifs – entre l'appréciation des Drs D.________, K.________ et M.________ et celle du SMR sur la capacité de travail résiduelle du recourant après le 18 mai 2006, de sorte qu'il appartient à un expert de départager ces opinions (cf. consid. 4d supra). Par conséquent, la Cour de céans ne saurait statuer en l'état du dossier. Il se justifie dès lors de renvoyer la cause à l'OAI pour qu'il complète l'instruction sur le plan médical par la mise en œuvre d'une expertise pluridisciplinaire au sens de l'art. 44 LPGA, et qu'il rende une nouvelle décision. A noter, au surplus, que l'intéressé a été amputé d'un orteil du pied droit le 29 octobre 2008, et qu'en l'état du dossier, on ignore tout du contexte et des suites de cette intervention, notamment sous l'angle d'une éventuelle aggravation de l'état de santé du recourant – étant relevé ici que le rapport du Dr O.________ indexé le 17 mars 2009 (qui se limite à mentionner un pied diabétique à risque) s'avère par trop lacunaire pour pouvoir être considéré comme pertinent dans le présent contexte. Ce point méritera lui aussi d'être investigué dans le cadre d'une instruction complémentaire.</w:t>
      </w:r>
    </w:p>
    <w:p>
      <w:r>
        <w:rPr>
          <w:b/>
        </w:rPr>
        <w:t>E. 7</w:t>
      </w:r>
    </w:p>
    <w:p>
      <w:r>
        <w:t>a) En définitive, le recours, bien fondé, doit être admis, la décision attaquée annulée et le dossier de la cause renvoyé à l’OAI pour complément d’instruction sur le plan médical et nouvelle décision. b) Compte tenu de l'issue du litige, il n'y a pas lieu de donner suite aux mesures d'instruction requises par l'assuré, ni d'analyser plus avant les autres griefs invoqués par l'intéressé.</w:t>
      </w:r>
    </w:p>
    <w:p>
      <w:r>
        <w:rPr>
          <w:b/>
        </w:rPr>
        <w:t>E. 8</w:t>
      </w:r>
    </w:p>
    <w:p>
      <w:r>
        <w:t>a) Le présent arrêt doit être rendu sans frais (art. 52 LPA-VD). b) Le recourant obtient gain de cause dans la mesure où la décision attaquée est annulée. Assisté par un avocat, il a donc droit à des dépens, dont le montant doit être déterminé, sans égard à la valeur litigieuse, d'après l'importance et la complexité du litige (art. 61 let. g LPGA et 56 al. 2 LPA-VD; ATF 135 V 473 consid. 2.1).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