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676 vom 18. Juli 2011</w:t>
      </w:r>
    </w:p>
    <w:p>
      <w:r>
        <w:t>VD Tribunal cantonal, 2011-07-18, FR</w:t>
      </w:r>
    </w:p>
    <w:p>
      <w:r>
        <w:rPr>
          <w:b/>
        </w:rPr>
        <w:t xml:space="preserve">Quelle: </w:t>
      </w:r>
      <w:r>
        <w:t>https://mcp.opencaselaw.ch/entscheid/vd_findinfo_Arr_t___2011___676</w:t>
      </w:r>
    </w:p>
    <w:p>
      <w:r>
        <w:t>FR: VD_FINDINFO Arrêt / 2011 / 676 du 18 juillet 2011</w:t>
      </w:r>
    </w:p>
    <w:p>
      <w:r>
        <w:t>IT: VD_FINDINFO Arrêt / 2011 / 676 del 18 luglio 2011</w:t>
      </w:r>
    </w:p>
    <w:p>
      <w:pPr>
        <w:pStyle w:val="Heading2"/>
      </w:pPr>
      <w:r>
        <w:t>Regeste</w:t>
      </w:r>
    </w:p>
    <w:p>
      <w:r>
        <w:t>RENTE D'INVALIDITÉ, AFFECTION PSYCHIQUE, DÉBUT, MESURE D'ORDRE PROFESSIONNEL | 28 al. 2 LAI, 4 al. 1 LAI, 48 al. 2 LAI, 8 al. 1 LPGA</w:t>
      </w:r>
    </w:p>
    <w:p>
      <w:pPr>
        <w:pStyle w:val="Heading2"/>
      </w:pPr>
      <w:r>
        <w:t>Erwägungen</w:t>
      </w:r>
    </w:p>
    <w:p>
      <w:r>
        <w:rPr>
          <w:b/>
        </w:rPr>
        <w:t>E. 1</w:t>
      </w:r>
    </w:p>
    <w:p>
      <w:r>
        <w:t>LPGA) le 15 août 2007, date du dépôt de sa demande de prestations à l'OAI, elle ne peut prétendre aucune prestation pour la période antérieure au 15 août 2006. Le droit à la rente doit donc lui être reconnu dès le 1 er août 2006 (pour un cas similaire: TFA I 337/02 du 17 octobre 2002).</w:t>
      </w:r>
    </w:p>
    <w:p>
      <w:r>
        <w:rPr>
          <w:b/>
        </w:rPr>
        <w:t>E. 5</w:t>
      </w:r>
    </w:p>
    <w:p>
      <w:r>
        <w:t>La recourante conclut en outre à l'octroi de mesures d'ordre professionnel. Sur cette question, l'OAI se rallie aux conclusions de l'expert judiciaire. a)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 Le Dr R.________ a, dans son expertise judiciaire du 15 novembre 2010, retenu une capacité de travail de 50% et précisé que des mesures professionnelles pouvaient se justifier, relevant qu'une aide au placement ou une mise à niveau des connaissances d’employée de bureau pouvaient permettre d'augmenter la capacité de travail de l'assurée à long terme, même si le pronostic sur ce plan n’était pas des meilleurs. La recourante a une formation de secrétaire médicale et a travaillé dans le domaine médical, principalement dans des EMS; au vu du dossier elle n'a toutefois plus exercé d'activité lucrative depuis 1996. Dans ces conditions, il y a lieu de renvoyer la cause à l'OAI pour qu'il se prononce sur le droit de la recourante à des mesures d'ordre professionnel s'agissant de la capacité de travail résiduelle.</w:t>
      </w:r>
    </w:p>
    <w:p>
      <w:r>
        <w:rPr>
          <w:b/>
        </w:rPr>
        <w:t>E. 6</w:t>
      </w:r>
    </w:p>
    <w:p>
      <w:r>
        <w:t>a) Partant, le recours doit être admis et la décision attaquée, rendue par l'OAI le 28 janvier 2009, doit être réformée en ce sens que la recourante a droit à une demi-rente d'invalidité à compter du 1 er août 2006 et que l'OAI devra se prononcer sur le droit à des mesures d'ordre professionnel. b)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La recourante, qui plaide au bénéfice de l'assistance judiciaire, obtient gain de cause avec le concours d'un avocat d'office et a droit à des dépens (art. 61 let. g LPGA et art. 55 LPA-VD), fixés selon l'importance du litige et la complexité de la cause ainsi que compte tenu des opérations nécessaires effectuées par son avocat. Il appartient à la Cour des assurances sociales de fixer le montant de ces dépens (art. 91 et 99 LPA-VD), qui seront arrêtés à 5'200 fr. TVA comprise, montant qui comprend des débours par 200 fr. TVA comprise. Ce montant couvrant intégralement l'indemnité due à Me Dal Col pour l'assistance judiciaire, il n'y a pas lieu d'examiner cette question qui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